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shd w:fill="102F60" w:val="clear"/>
            <w:tcMar>
              <w:top w:type="dxa" w:w="80"/>
              <w:left w:type="dxa" w:w="200"/>
              <w:bottom w:type="dxa" w:w="80"/>
              <w:right w:type="dxa" w:w="80"/>
            </w:tcMar>
          </w:tcPr>
          <w:p>
            <w:pPr>
              <w:spacing w:after="0" w:before="0"/>
              <w:jc w:val="left"/>
            </w:pPr>
            <w:r>
              <w:rPr>
                <w:rFonts w:ascii="Arial" w:cs="Arial" w:eastAsia="Arial" w:hAnsi="Arial"/>
                <w:b/>
                <w:bCs/>
                <w:i w:val="false"/>
                <w:iCs w:val="false"/>
                <w:color w:val="FFFFFF"/>
                <w:sz w:val="20"/>
                <w:szCs w:val="20"/>
              </w:rPr>
              <w:t xml:space="preserve">AdoptingAI</w:t>
            </w:r>
          </w:p>
        </w:tc>
        <w:tc>
          <w:tcPr>
            <w:tcW w:type="dxa" w:w="2160"/>
            <w:tcBorders>
              <w:top w:val="none" w:color="FFFFFF" w:sz="0"/>
              <w:left w:val="none" w:color="FFFFFF" w:sz="0"/>
              <w:bottom w:val="none" w:color="FFFFFF" w:sz="0"/>
              <w:right w:val="none" w:color="FFFFFF" w:sz="0"/>
            </w:tcBorders>
            <w:shd w:fill="102F60" w:val="clear"/>
            <w:tcMar>
              <w:top w:type="dxa" w:w="80"/>
              <w:left w:type="dxa" w:w="80"/>
              <w:bottom w:type="dxa" w:w="80"/>
              <w:right w:type="dxa" w:w="200"/>
            </w:tcMar>
          </w:tcPr>
          <w:p>
            <w:pPr>
              <w:spacing w:after="0" w:before="0"/>
              <w:jc w:val="right"/>
            </w:pPr>
            <w:r>
              <w:rPr>
                <w:rFonts w:ascii="Arial" w:cs="Arial" w:eastAsia="Arial" w:hAnsi="Arial"/>
                <w:b/>
                <w:bCs/>
                <w:i w:val="false"/>
                <w:iCs w:val="false"/>
                <w:color w:val="E05A20"/>
                <w:sz w:val="20"/>
                <w:szCs w:val="20"/>
              </w:rPr>
              <w:t xml:space="preserve">ARIA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E05A20" w:val="clear"/>
            <w:tcMar>
              <w:top w:type="dxa" w:w="20"/>
              <w:bottom w:type="dxa" w:w="20"/>
            </w:tcMar>
          </w:tcPr>
          <w:p>
            <w:pPr>
              <w:spacing w:after="0" w:before="0"/>
              <w:jc w:val="left"/>
            </w:pPr>
            <w:r>
              <w:rPr>
                <w:rFonts w:ascii="Arial" w:cs="Arial" w:eastAsia="Arial" w:hAnsi="Arial"/>
                <w:b w:val="false"/>
                <w:bCs w:val="false"/>
                <w:i w:val="false"/>
                <w:iCs w:val="false"/>
                <w:color w:val="222222"/>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02F60" w:val="clear"/>
            <w:tcMar>
              <w:top w:type="dxa" w:w="1200"/>
              <w:left w:type="dxa" w:w="720"/>
              <w:bottom w:type="dxa" w:w="1200"/>
              <w:right w:type="dxa" w:w="720"/>
            </w:tcMar>
          </w:tcPr>
          <w:p>
            <w:pPr>
              <w:spacing w:after="200" w:before="0"/>
              <w:jc w:val="left"/>
            </w:pPr>
            <w:r>
              <w:rPr>
                <w:rFonts w:ascii="Arial" w:cs="Arial" w:eastAsia="Arial" w:hAnsi="Arial"/>
                <w:b/>
                <w:bCs/>
                <w:i w:val="false"/>
                <w:iCs w:val="false"/>
                <w:color w:val="FFFFFF"/>
                <w:sz w:val="40"/>
                <w:szCs w:val="40"/>
              </w:rPr>
              <w:t xml:space="preserve">AI Strategy Roadmap</w:t>
            </w:r>
          </w:p>
          <w:p>
            <w:pPr>
              <w:spacing w:after="600" w:before="0"/>
              <w:jc w:val="left"/>
            </w:pPr>
            <w:r>
              <w:rPr>
                <w:rFonts w:ascii="Arial" w:cs="Arial" w:eastAsia="Arial" w:hAnsi="Arial"/>
                <w:b w:val="false"/>
                <w:bCs w:val="false"/>
                <w:i w:val="false"/>
                <w:iCs w:val="false"/>
                <w:color w:val="BDD7EE"/>
                <w:sz w:val="20"/>
                <w:szCs w:val="20"/>
              </w:rPr>
              <w:t xml:space="preserve">ARIA Engagement Output  |  Confidential</w:t>
            </w:r>
          </w:p>
          <w:p>
            <w:pPr>
              <w:spacing w:after="120" w:before="0"/>
              <w:jc w:val="left"/>
            </w:pPr>
            <w:r>
              <w:rPr>
                <w:rFonts w:ascii="Arial" w:cs="Arial" w:eastAsia="Arial" w:hAnsi="Arial"/>
                <w:b/>
                <w:bCs/>
                <w:i w:val="false"/>
                <w:iCs w:val="false"/>
                <w:color w:val="FFFFFF"/>
                <w:sz w:val="32"/>
                <w:szCs w:val="32"/>
              </w:rPr>
              <w:t xml:space="preserve">Apex Home Products</w:t>
            </w:r>
          </w:p>
          <w:p>
            <w:pPr>
              <w:spacing w:after="80" w:before="0"/>
              <w:jc w:val="left"/>
            </w:pPr>
            <w:r>
              <w:rPr>
                <w:rFonts w:ascii="Arial" w:cs="Arial" w:eastAsia="Arial" w:hAnsi="Arial"/>
                <w:b w:val="false"/>
                <w:bCs w:val="false"/>
                <w:i w:val="false"/>
                <w:iCs w:val="false"/>
                <w:color w:val="BDD7EE"/>
                <w:sz w:val="18"/>
                <w:szCs w:val="18"/>
              </w:rPr>
              <w:t xml:space="preserve">Prepared by AdoptingAI</w:t>
            </w:r>
          </w:p>
          <w:p>
            <w:pPr>
              <w:spacing w:after="0" w:before="0"/>
              <w:jc w:val="left"/>
            </w:pPr>
            <w:r>
              <w:rPr>
                <w:rFonts w:ascii="Arial" w:cs="Arial" w:eastAsia="Arial" w:hAnsi="Arial"/>
                <w:b w:val="false"/>
                <w:bCs w:val="false"/>
                <w:i w:val="false"/>
                <w:iCs w:val="false"/>
                <w:color w:val="BDD7EE"/>
                <w:sz w:val="18"/>
                <w:szCs w:val="18"/>
              </w:rPr>
              <w:t xml:space="preserve">Q3 2026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E05A20" w:val="clear"/>
            <w:tcMar>
              <w:top w:type="dxa" w:w="20"/>
              <w:bottom w:type="dxa" w:w="20"/>
            </w:tcMar>
          </w:tcPr>
          <w:p>
            <w:pPr>
              <w:spacing w:after="0" w:before="0"/>
              <w:jc w:val="left"/>
            </w:pPr>
            <w:r>
              <w:rPr>
                <w:rFonts w:ascii="Arial" w:cs="Arial" w:eastAsia="Arial" w:hAnsi="Arial"/>
                <w:b w:val="false"/>
                <w:bCs w:val="false"/>
                <w:i w:val="false"/>
                <w:iCs w:val="false"/>
                <w:color w:val="222222"/>
                <w:sz w:val="20"/>
                <w:szCs w:val="20"/>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shd w:fill="102F60" w:val="clear"/>
            <w:tcMar>
              <w:top w:type="dxa" w:w="100"/>
              <w:left w:type="dxa" w:w="200"/>
              <w:bottom w:type="dxa" w:w="100"/>
              <w:right w:type="dxa" w:w="200"/>
            </w:tcMar>
          </w:tcPr>
          <w:p>
            <w:pPr>
              <w:spacing w:after="0" w:before="0"/>
              <w:jc w:val="center"/>
            </w:pPr>
            <w:r>
              <w:rPr>
                <w:rFonts w:ascii="Arial" w:cs="Arial" w:eastAsia="Arial" w:hAnsi="Arial"/>
                <w:b w:val="false"/>
                <w:bCs w:val="false"/>
                <w:i/>
                <w:iCs/>
                <w:color w:val="BDD7EE"/>
                <w:sz w:val="17"/>
                <w:szCs w:val="17"/>
              </w:rPr>
              <w:t xml:space="preserve">This document is the final output of an ARIA engagement conducted by AdoptingAI. It contains confidential findings and recommendations specific to Apex Home Products. Not for distribution beyond the named recipients.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02F60" w:val="clear"/>
            <w:tcMar>
              <w:top w:type="dxa" w:w="160"/>
              <w:left w:type="dxa" w:w="300"/>
              <w:bottom w:type="dxa" w:w="160"/>
              <w:right w:type="dxa" w:w="300"/>
            </w:tcMar>
          </w:tcPr>
          <w:p>
            <w:pPr>
              <w:spacing w:after="20" w:before="0"/>
              <w:jc w:val="left"/>
            </w:pPr>
            <w:r>
              <w:rPr>
                <w:rFonts w:ascii="Arial" w:cs="Arial" w:eastAsia="Arial" w:hAnsi="Arial"/>
                <w:b/>
                <w:bCs/>
                <w:i w:val="false"/>
                <w:iCs w:val="false"/>
                <w:color w:val="FFFFFF"/>
                <w:sz w:val="26"/>
                <w:szCs w:val="26"/>
              </w:rPr>
              <w:t xml:space="preserve">Executive Summary</w:t>
            </w:r>
          </w:p>
          <w:p>
            <w:pPr>
              <w:spacing w:after="0" w:before="0"/>
              <w:jc w:val="left"/>
            </w:pPr>
            <w:r>
              <w:rPr>
                <w:rFonts w:ascii="Arial" w:cs="Arial" w:eastAsia="Arial" w:hAnsi="Arial"/>
                <w:b w:val="false"/>
                <w:bCs w:val="false"/>
                <w:i w:val="false"/>
                <w:iCs w:val="false"/>
                <w:color w:val="BDD7EE"/>
                <w:sz w:val="17"/>
                <w:szCs w:val="17"/>
              </w:rPr>
              <w:t xml:space="preserve">AI Strategy Roadmap  |  Apex Home Products  |  Q3 2026</w:t>
            </w:r>
          </w:p>
        </w:tc>
      </w:tr>
    </w:tbl>
    <w:p>
      <w:pPr>
        <w:spacing w:after="80" w:before="0"/>
      </w:pPr>
      <w:r>
        <w:rPr>
          <w:rFonts w:ascii="Arial" w:cs="Arial" w:eastAsia="Arial" w:hAnsi="Arial"/>
          <w:b w:val="false"/>
          <w:bCs w:val="false"/>
          <w:i w:val="false"/>
          <w:iCs w:val="false"/>
          <w:color w:val="222222"/>
          <w:sz w:val="20"/>
          <w:szCs w:val="20"/>
        </w:rPr>
        <w:t xml:space="preserve"/>
      </w:r>
    </w:p>
    <w:p>
      <w:pPr>
        <w:spacing w:after="60" w:before="120"/>
        <w:jc w:val="left"/>
      </w:pPr>
      <w:r>
        <w:rPr>
          <w:rFonts w:ascii="Arial" w:cs="Arial" w:eastAsia="Arial" w:hAnsi="Arial"/>
          <w:b/>
          <w:bCs/>
          <w:i w:val="false"/>
          <w:iCs w:val="false"/>
          <w:color w:val="102F60"/>
          <w:sz w:val="19"/>
          <w:szCs w:val="19"/>
        </w:rPr>
        <w:t xml:space="preserve">Context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20"/>
                <w:szCs w:val="20"/>
              </w:rPr>
              <w:t xml:space="preserve">Apex Home Products faces quantified operational inefficiencies across sales and operations: 180-240 weekly EDI exceptions consuming 2-3 FTEs, monthly spreadsheet-based demand forecasting that caused $1.5M+ in lost revenue during a viral product event, 80-100 weekly person-hours on returns processing, and 70-135 person-days annually on retailer business reviews. Data warehouse pipelines are 18 months into buildout but incomplete, SAP inventory latency limits real-time alerting, and no formal AI governance framework exists. Leadership maintains a high proof-of-concept bar before significant AI commitment, creating both a constraint and an opportunity to demonstrate value through contained pilots.</w:t>
            </w:r>
          </w:p>
        </w:tc>
      </w:tr>
    </w:tbl>
    <w:p>
      <w:pPr>
        <w:spacing w:after="60" w:before="120"/>
        <w:jc w:val="left"/>
      </w:pPr>
      <w:r>
        <w:rPr>
          <w:rFonts w:ascii="Arial" w:cs="Arial" w:eastAsia="Arial" w:hAnsi="Arial"/>
          <w:b/>
          <w:bCs/>
          <w:i w:val="false"/>
          <w:iCs w:val="false"/>
          <w:color w:val="102F60"/>
          <w:sz w:val="19"/>
          <w:szCs w:val="19"/>
        </w:rPr>
        <w:t xml:space="preserve">Readiness Findings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Data foundation exists across SAP, Salesforce, WMS, and data warehouse, but integration gaps require 3-4 months of pipeline extension work before Wave 1 use cases can access historical EDI exception data and near-real-time inventory positions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Data team has limited ML experience and is near capacity, requiring external implementation partner support and managed AI service model to reduce specialized maintenance burden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No AI governance framework, risk owner, or audit trail requirements defined; Chris Morgan committed to lightweight framework covering human review controls by end of Q2 2026</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Retailer portal access and template standardization for the business review use case requires vendor coordination and internal working sessions adding 3-4 weeks to deployment timeline</w:t>
            </w:r>
          </w:p>
        </w:tc>
      </w:tr>
    </w:tbl>
    <w:p>
      <w:pPr>
        <w:spacing w:after="60" w:before="120"/>
        <w:jc w:val="left"/>
      </w:pPr>
      <w:r>
        <w:rPr>
          <w:rFonts w:ascii="Arial" w:cs="Arial" w:eastAsia="Arial" w:hAnsi="Arial"/>
          <w:b/>
          <w:bCs/>
          <w:i w:val="false"/>
          <w:iCs w:val="false"/>
          <w:color w:val="102F60"/>
          <w:sz w:val="19"/>
          <w:szCs w:val="19"/>
        </w:rPr>
        <w:t xml:space="preserve">Wave 1 Recommendations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Intelligent EDI Exception Resolution targets 75% reduction in manual exception handling within 90 days of deployment, with data warehouse pipeline extension as the critical path dependency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Proactive Out-of-Stock Alert System using internal signals only targets 80% detection of stockout risk events 72+ hours in advance, with SAP inventory latency reduction to near-real-time as prerequisite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Automated Retailer Business Review Generator targets reduction of 2-3 day preparation time to under 4 hours per review, with retailer portal access and template standardization as prerequisites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DDDDD" w:sz="1"/>
              <w:left w:val="single" w:color="E05A20" w:sz="6"/>
              <w:bottom w:val="single" w:color="DDDDDD" w:sz="1"/>
              <w:right w:val="single" w:color="DDDDDD" w:sz="1"/>
            </w:tcBorders>
            <w:shd w:fill="FFF8F5" w:val="clear"/>
            <w:tcMar>
              <w:top w:type="dxa" w:w="100"/>
              <w:left w:type="dxa" w:w="200"/>
              <w:bottom w:type="dxa" w:w="100"/>
              <w:right w:type="dxa" w:w="200"/>
            </w:tcMar>
          </w:tcPr>
          <w:p>
            <w:pPr>
              <w:spacing w:after="40" w:before="0"/>
              <w:jc w:val="left"/>
            </w:pPr>
            <w:r>
              <w:rPr>
                <w:rFonts w:ascii="Arial" w:cs="Arial" w:eastAsia="Arial" w:hAnsi="Arial"/>
                <w:b/>
                <w:bCs/>
                <w:i w:val="false"/>
                <w:iCs w:val="false"/>
                <w:color w:val="E05A20"/>
                <w:sz w:val="18"/>
                <w:szCs w:val="18"/>
              </w:rPr>
              <w:t xml:space="preserve">Most Critical Next Step</w:t>
            </w:r>
          </w:p>
          <w:p>
            <w:pPr>
              <w:spacing w:after="0" w:before="0"/>
              <w:jc w:val="left"/>
            </w:pPr>
            <w:r>
              <w:rPr>
                <w:rFonts w:ascii="Arial" w:cs="Arial" w:eastAsia="Arial" w:hAnsi="Arial"/>
                <w:b/>
                <w:bCs/>
                <w:i w:val="false"/>
                <w:iCs w:val="false"/>
                <w:color w:val="222222"/>
                <w:sz w:val="18"/>
                <w:szCs w:val="18"/>
              </w:rPr>
              <w:t xml:space="preserve">Complete data warehouse pipeline extension for EDI exception data, establish lightweight AI governance framework with named risk owner and human review controls, and initiate retailer portal access coordination within two weeks to unblock Wave 1 deployment starting Q4 2026.</w:t>
            </w:r>
          </w:p>
        </w:tc>
      </w:tr>
    </w:tbl>
    <w:p>
      <w:pPr>
        <w:spacing w:after="1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1</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CLIENT CONTEXT AND STRATEGIC ENVIRONMENT</w:t>
            </w:r>
          </w:p>
        </w:tc>
      </w:tr>
    </w:tbl>
    <w:p>
      <w:pPr>
        <w:spacing w:after="80" w:before="0"/>
      </w:pPr>
      <w:r>
        <w:rPr>
          <w:rFonts w:ascii="Arial" w:cs="Arial" w:eastAsia="Arial" w:hAnsi="Arial"/>
          <w:b w:val="false"/>
          <w:bCs w:val="false"/>
          <w:i w:val="false"/>
          <w:iCs w:val="false"/>
          <w:color w:val="222222"/>
          <w:sz w:val="20"/>
          <w:szCs w:val="20"/>
        </w:rPr>
        <w:t xml:space="preserve"/>
      </w:r>
    </w:p>
    <w:p>
      <w:pPr>
        <w:spacing w:after="60" w:before="120"/>
        <w:jc w:val="left"/>
      </w:pPr>
      <w:r>
        <w:rPr>
          <w:rFonts w:ascii="Arial" w:cs="Arial" w:eastAsia="Arial" w:hAnsi="Arial"/>
          <w:b/>
          <w:bCs/>
          <w:i w:val="false"/>
          <w:iCs w:val="false"/>
          <w:color w:val="3A80C8"/>
          <w:sz w:val="19"/>
          <w:szCs w:val="19"/>
        </w:rPr>
        <w:t xml:space="preserve">ORGANIZATION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20"/>
                <w:szCs w:val="20"/>
              </w:rPr>
              <w:t xml:space="preserve">Apex Home Products operates as a global consumer goods company selling innovative home appliances across 20 countries through major retail partnerships and a growing direct-to-consumer channel. The organization maintains a sales operations team supporting retailer relationships, a data team building out data warehouse infrastructure, and cross-functional operations teams managing EDI transactions, returns processing, and supply chain coordination. Technology infrastructure includes SAP ERP, Salesforce for DTC and pipeline management, a warehouse management system for fulfillment operations, and a cloud-based data warehouse with pipelines still under construction. Leadership structure includes the VP Technology as the AI technology sponsor with budget authority, and VPs of Operations and Sales Operations as business sponsors for the priority use case areas.</w:t>
            </w:r>
          </w:p>
        </w:tc>
      </w:tr>
    </w:tbl>
    <w:p>
      <w:pPr>
        <w:spacing w:after="60" w:before="120"/>
        <w:jc w:val="left"/>
      </w:pPr>
      <w:r>
        <w:rPr>
          <w:rFonts w:ascii="Arial" w:cs="Arial" w:eastAsia="Arial" w:hAnsi="Arial"/>
          <w:b/>
          <w:bCs/>
          <w:i w:val="false"/>
          <w:iCs w:val="false"/>
          <w:color w:val="3A80C8"/>
          <w:sz w:val="19"/>
          <w:szCs w:val="19"/>
        </w:rPr>
        <w:t xml:space="preserve">OPERATIONAL PRESSURES DRIVING AI ADOPTION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20"/>
                <w:szCs w:val="20"/>
              </w:rPr>
              <w:t xml:space="preserve">EDI exception resolution consumes 2-3 FTEs processing 180-240 weekly exceptions from major retail partners, with malformed purchase orders requiring 5-30 minutes each and creating downstream invoicing delays. Monthly spreadsheet-based demand forecasting with manual data aggregation caused an extended stockout and $1.5M+ revenue loss when a product went viral without early detection. DTC returns processing requires 80-100 person-hours weekly. Sales operations spends 70-135 person-days annually producing retailer business reviews despite repetitive content structure. Fragmented out-of-stock visibility means supply disruptions reach sales teams only through reactive messages, straining retailer relationships during 60+ annual product launches.</w:t>
            </w:r>
          </w:p>
        </w:tc>
      </w:tr>
    </w:tbl>
    <w:p>
      <w:pPr>
        <w:spacing w:after="60" w:before="120"/>
        <w:jc w:val="left"/>
      </w:pPr>
      <w:r>
        <w:rPr>
          <w:rFonts w:ascii="Arial" w:cs="Arial" w:eastAsia="Arial" w:hAnsi="Arial"/>
          <w:b/>
          <w:bCs/>
          <w:i w:val="false"/>
          <w:iCs w:val="false"/>
          <w:color w:val="3A80C8"/>
          <w:sz w:val="19"/>
          <w:szCs w:val="19"/>
        </w:rPr>
        <w:t xml:space="preserve">WHY AI, WHY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20"/>
                <w:szCs w:val="20"/>
              </w:rPr>
              <w:t xml:space="preserve">Current manual processes cannot scale with product launch velocity of 60+ annually across 20 countries and growing DTC channel expansion. The viral product stockout demonstrated $1.5M+ revenue exposure from inability to detect and respond to demand spikes within the current monthly forecast cycle. EDI exception processing and retailer business review production trap experienced staff in repetitive tasks rather than revenue-generating work. Data warehouse infrastructure now provides a foundation for centralized data access previously fragmented across multiple systems, making AI model deployment architecturally feasible. Leadership maintains high proof-of-concept expectations, creating urgency to demonstrate AI value through contained, high-ROI pilots before larger investments.</w:t>
            </w:r>
          </w:p>
        </w:tc>
      </w:tr>
    </w:tbl>
    <w:p>
      <w:pPr>
        <w:spacing w:after="12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2</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READINESS ASSESSMENT RESULTS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DDDDD" w:sz="1"/>
              <w:left w:val="single" w:color="DDDDDD" w:sz="1"/>
              <w:bottom w:val="single" w:color="DDDDDD" w:sz="1"/>
              <w:right w:val="single" w:color="DDDDDD" w:sz="1"/>
            </w:tcBorders>
            <w:shd w:fill="FFF8E1" w:val="clear"/>
            <w:tcMar>
              <w:top w:type="dxa" w:w="120"/>
              <w:left w:type="dxa" w:w="240"/>
              <w:bottom w:type="dxa" w:w="120"/>
              <w:right w:type="dxa" w:w="240"/>
            </w:tcMar>
          </w:tcPr>
          <w:p>
            <w:pPr>
              <w:spacing w:after="40" w:before="0"/>
              <w:jc w:val="left"/>
            </w:pPr>
            <w:r>
              <w:rPr>
                <w:rFonts w:ascii="Arial" w:cs="Arial" w:eastAsia="Arial" w:hAnsi="Arial"/>
                <w:b/>
                <w:bCs/>
                <w:i w:val="false"/>
                <w:iCs w:val="false"/>
                <w:color w:val="B06000"/>
                <w:sz w:val="18"/>
                <w:szCs w:val="18"/>
              </w:rPr>
              <w:t xml:space="preserve">Overall Readiness Score</w:t>
            </w:r>
          </w:p>
          <w:p>
            <w:pPr>
              <w:spacing w:after="40" w:before="0"/>
              <w:jc w:val="left"/>
            </w:pPr>
            <w:r>
              <w:rPr>
                <w:rFonts w:ascii="Arial" w:cs="Arial" w:eastAsia="Arial" w:hAnsi="Arial"/>
                <w:b/>
                <w:bCs/>
                <w:i w:val="false"/>
                <w:iCs w:val="false"/>
                <w:color w:val="B06000"/>
                <w:sz w:val="36"/>
                <w:szCs w:val="36"/>
              </w:rPr>
              <w:t xml:space="preserve">2.75 out of 5.0</w:t>
            </w:r>
          </w:p>
          <w:p>
            <w:pPr>
              <w:spacing w:after="0" w:before="0"/>
              <w:jc w:val="left"/>
            </w:pPr>
            <w:r>
              <w:rPr>
                <w:rFonts w:ascii="Arial" w:cs="Arial" w:eastAsia="Arial" w:hAnsi="Arial"/>
                <w:b w:val="false"/>
                <w:bCs w:val="false"/>
                <w:i/>
                <w:iCs/>
                <w:color w:val="B06000"/>
                <w:sz w:val="17"/>
                <w:szCs w:val="17"/>
              </w:rPr>
              <w:t xml:space="preserve">Apex Home Products has foundational data and technology infrastructure in place but requires 3-4 months of targeted preparation across data integration, governance establishment, and organizational enablement before Wave 1 pilot deployment. The score reflects readiness for pilot-scale initiatives, not enterprise-scale AI deployment.</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DDDDDD" w:sz="1"/>
              <w:left w:val="single" w:color="DDDDDD" w:sz="1"/>
              <w:bottom w:val="single" w:color="DDDDDD" w:sz="1"/>
              <w:right w:val="single" w:color="DDDDDD" w:sz="1"/>
            </w:tcBorders>
            <w:shd w:fill="FFF8E1" w:val="clear"/>
            <w:tcMar>
              <w:top w:type="dxa" w:w="80"/>
              <w:left w:type="dxa" w:w="160"/>
              <w:bottom w:type="dxa" w:w="80"/>
              <w:right w:type="dxa" w:w="80"/>
            </w:tcMar>
          </w:tcPr>
          <w:p>
            <w:pPr>
              <w:spacing w:after="10" w:before="0"/>
              <w:jc w:val="left"/>
            </w:pPr>
            <w:r>
              <w:rPr>
                <w:rFonts w:ascii="Arial" w:cs="Arial" w:eastAsia="Arial" w:hAnsi="Arial"/>
                <w:b/>
                <w:bCs/>
                <w:i w:val="false"/>
                <w:iCs w:val="false"/>
                <w:color w:val="B06000"/>
                <w:sz w:val="19"/>
                <w:szCs w:val="19"/>
              </w:rPr>
              <w:t xml:space="preserve">Data Readiness</w:t>
            </w:r>
          </w:p>
          <w:p>
            <w:pPr>
              <w:spacing w:after="0" w:before="0"/>
              <w:jc w:val="left"/>
            </w:pPr>
            <w:r>
              <w:rPr>
                <w:rFonts w:ascii="Arial" w:cs="Arial" w:eastAsia="Arial" w:hAnsi="Arial"/>
                <w:b w:val="false"/>
                <w:bCs w:val="false"/>
                <w:i w:val="false"/>
                <w:iCs w:val="false"/>
                <w:color w:val="B06000"/>
                <w:sz w:val="17"/>
                <w:szCs w:val="17"/>
              </w:rPr>
              <w:t xml:space="preserve">Score: 3.0 / 5.0</w:t>
            </w:r>
          </w:p>
        </w:tc>
        <w:tc>
          <w:tcPr>
            <w:tcW w:type="dxa" w:w="2160"/>
            <w:tcBorders>
              <w:top w:val="single" w:color="DDDDDD" w:sz="1"/>
              <w:left w:val="single" w:color="DDDDDD" w:sz="1"/>
              <w:bottom w:val="single" w:color="DDDDDD" w:sz="1"/>
              <w:right w:val="single" w:color="DDDDDD" w:sz="1"/>
            </w:tcBorders>
            <w:shd w:fill="FFF8E1" w:val="clear"/>
            <w:tcMar>
              <w:top w:type="dxa" w:w="80"/>
              <w:left w:type="dxa" w:w="80"/>
              <w:bottom w:type="dxa" w:w="80"/>
              <w:right w:type="dxa" w:w="160"/>
            </w:tcMar>
            <w:vAlign w:val="center"/>
          </w:tcPr>
          <w:p>
            <w:pPr>
              <w:spacing w:after="0" w:before="0"/>
              <w:jc w:val="right"/>
            </w:pPr>
            <w:r>
              <w:rPr>
                <w:rFonts w:ascii="Arial" w:cs="Arial" w:eastAsia="Arial" w:hAnsi="Arial"/>
                <w:b/>
                <w:bCs/>
                <w:i w:val="false"/>
                <w:iCs w:val="false"/>
                <w:color w:val="B06000"/>
                <w:sz w:val="18"/>
                <w:szCs w:val="18"/>
              </w:rPr>
              <w:t xml:space="preserve">■ ■ ■ □ □  3.0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80"/>
              <w:left w:type="dxa" w:w="160"/>
              <w:bottom w:type="dxa" w:w="80"/>
              <w:right w:type="dxa" w:w="160"/>
            </w:tcMar>
          </w:tcPr>
          <w:p>
            <w:pPr>
              <w:spacing w:after="0" w:before="0"/>
              <w:jc w:val="left"/>
            </w:pPr>
            <w:r>
              <w:rPr>
                <w:rFonts w:ascii="Arial" w:cs="Arial" w:eastAsia="Arial" w:hAnsi="Arial"/>
                <w:b w:val="false"/>
                <w:bCs w:val="false"/>
                <w:i w:val="false"/>
                <w:iCs w:val="false"/>
                <w:color w:val="222222"/>
                <w:sz w:val="17"/>
                <w:szCs w:val="17"/>
              </w:rPr>
              <w:t xml:space="preserve">Historical sales data exists across systems and the data warehouse provides a centralized architecture. Pipelines remain incomplete for EDI exception logs and near-real-time inventory feeds. Returns data structure and EDI log retention require validation.</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DDDDDD" w:sz="1"/>
              <w:left w:val="single" w:color="DDDDDD" w:sz="1"/>
              <w:bottom w:val="single" w:color="DDDDDD" w:sz="1"/>
              <w:right w:val="single" w:color="DDDDDD" w:sz="1"/>
            </w:tcBorders>
            <w:shd w:fill="FFF8E1" w:val="clear"/>
            <w:tcMar>
              <w:top w:type="dxa" w:w="80"/>
              <w:left w:type="dxa" w:w="160"/>
              <w:bottom w:type="dxa" w:w="80"/>
              <w:right w:type="dxa" w:w="80"/>
            </w:tcMar>
          </w:tcPr>
          <w:p>
            <w:pPr>
              <w:spacing w:after="10" w:before="0"/>
              <w:jc w:val="left"/>
            </w:pPr>
            <w:r>
              <w:rPr>
                <w:rFonts w:ascii="Arial" w:cs="Arial" w:eastAsia="Arial" w:hAnsi="Arial"/>
                <w:b/>
                <w:bCs/>
                <w:i w:val="false"/>
                <w:iCs w:val="false"/>
                <w:color w:val="B06000"/>
                <w:sz w:val="19"/>
                <w:szCs w:val="19"/>
              </w:rPr>
              <w:t xml:space="preserve">Technology Readiness</w:t>
            </w:r>
          </w:p>
          <w:p>
            <w:pPr>
              <w:spacing w:after="0" w:before="0"/>
              <w:jc w:val="left"/>
            </w:pPr>
            <w:r>
              <w:rPr>
                <w:rFonts w:ascii="Arial" w:cs="Arial" w:eastAsia="Arial" w:hAnsi="Arial"/>
                <w:b w:val="false"/>
                <w:bCs w:val="false"/>
                <w:i w:val="false"/>
                <w:iCs w:val="false"/>
                <w:color w:val="B06000"/>
                <w:sz w:val="17"/>
                <w:szCs w:val="17"/>
              </w:rPr>
              <w:t xml:space="preserve">Score: 3.0 / 5.0</w:t>
            </w:r>
          </w:p>
        </w:tc>
        <w:tc>
          <w:tcPr>
            <w:tcW w:type="dxa" w:w="2160"/>
            <w:tcBorders>
              <w:top w:val="single" w:color="DDDDDD" w:sz="1"/>
              <w:left w:val="single" w:color="DDDDDD" w:sz="1"/>
              <w:bottom w:val="single" w:color="DDDDDD" w:sz="1"/>
              <w:right w:val="single" w:color="DDDDDD" w:sz="1"/>
            </w:tcBorders>
            <w:shd w:fill="FFF8E1" w:val="clear"/>
            <w:tcMar>
              <w:top w:type="dxa" w:w="80"/>
              <w:left w:type="dxa" w:w="80"/>
              <w:bottom w:type="dxa" w:w="80"/>
              <w:right w:type="dxa" w:w="160"/>
            </w:tcMar>
            <w:vAlign w:val="center"/>
          </w:tcPr>
          <w:p>
            <w:pPr>
              <w:spacing w:after="0" w:before="0"/>
              <w:jc w:val="right"/>
            </w:pPr>
            <w:r>
              <w:rPr>
                <w:rFonts w:ascii="Arial" w:cs="Arial" w:eastAsia="Arial" w:hAnsi="Arial"/>
                <w:b/>
                <w:bCs/>
                <w:i w:val="false"/>
                <w:iCs w:val="false"/>
                <w:color w:val="B06000"/>
                <w:sz w:val="18"/>
                <w:szCs w:val="18"/>
              </w:rPr>
              <w:t xml:space="preserve">■ ■ ■ □ □  3.0</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80"/>
              <w:left w:type="dxa" w:w="160"/>
              <w:bottom w:type="dxa" w:w="80"/>
              <w:right w:type="dxa" w:w="160"/>
            </w:tcMar>
          </w:tcPr>
          <w:p>
            <w:pPr>
              <w:spacing w:after="0" w:before="0"/>
              <w:jc w:val="left"/>
            </w:pPr>
            <w:r>
              <w:rPr>
                <w:rFonts w:ascii="Arial" w:cs="Arial" w:eastAsia="Arial" w:hAnsi="Arial"/>
                <w:b w:val="false"/>
                <w:bCs w:val="false"/>
                <w:i w:val="false"/>
                <w:iCs w:val="false"/>
                <w:color w:val="222222"/>
                <w:sz w:val="17"/>
                <w:szCs w:val="17"/>
              </w:rPr>
              <w:t xml:space="preserve">Core systems are in place but integration is primarily flat file with limited API usage and underdeveloped real-time data capabilities. Cloud infrastructure exists to support AI model deployment once data pipelines are extended.</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DDDDDD" w:sz="1"/>
              <w:left w:val="single" w:color="DDDDDD" w:sz="1"/>
              <w:bottom w:val="single" w:color="DDDDDD" w:sz="1"/>
              <w:right w:val="single" w:color="DDDDDD" w:sz="1"/>
            </w:tcBorders>
            <w:shd w:fill="FFF8E1" w:val="clear"/>
            <w:tcMar>
              <w:top w:type="dxa" w:w="80"/>
              <w:left w:type="dxa" w:w="160"/>
              <w:bottom w:type="dxa" w:w="80"/>
              <w:right w:type="dxa" w:w="80"/>
            </w:tcMar>
          </w:tcPr>
          <w:p>
            <w:pPr>
              <w:spacing w:after="10" w:before="0"/>
              <w:jc w:val="left"/>
            </w:pPr>
            <w:r>
              <w:rPr>
                <w:rFonts w:ascii="Arial" w:cs="Arial" w:eastAsia="Arial" w:hAnsi="Arial"/>
                <w:b/>
                <w:bCs/>
                <w:i w:val="false"/>
                <w:iCs w:val="false"/>
                <w:color w:val="B06000"/>
                <w:sz w:val="19"/>
                <w:szCs w:val="19"/>
              </w:rPr>
              <w:t xml:space="preserve">Organizational Readiness</w:t>
            </w:r>
          </w:p>
          <w:p>
            <w:pPr>
              <w:spacing w:after="0" w:before="0"/>
              <w:jc w:val="left"/>
            </w:pPr>
            <w:r>
              <w:rPr>
                <w:rFonts w:ascii="Arial" w:cs="Arial" w:eastAsia="Arial" w:hAnsi="Arial"/>
                <w:b w:val="false"/>
                <w:bCs w:val="false"/>
                <w:i w:val="false"/>
                <w:iCs w:val="false"/>
                <w:color w:val="B06000"/>
                <w:sz w:val="17"/>
                <w:szCs w:val="17"/>
              </w:rPr>
              <w:t xml:space="preserve">Score: 2.5 / 5.0</w:t>
            </w:r>
          </w:p>
        </w:tc>
        <w:tc>
          <w:tcPr>
            <w:tcW w:type="dxa" w:w="2160"/>
            <w:tcBorders>
              <w:top w:val="single" w:color="DDDDDD" w:sz="1"/>
              <w:left w:val="single" w:color="DDDDDD" w:sz="1"/>
              <w:bottom w:val="single" w:color="DDDDDD" w:sz="1"/>
              <w:right w:val="single" w:color="DDDDDD" w:sz="1"/>
            </w:tcBorders>
            <w:shd w:fill="FFF8E1" w:val="clear"/>
            <w:tcMar>
              <w:top w:type="dxa" w:w="80"/>
              <w:left w:type="dxa" w:w="80"/>
              <w:bottom w:type="dxa" w:w="80"/>
              <w:right w:type="dxa" w:w="160"/>
            </w:tcMar>
            <w:vAlign w:val="center"/>
          </w:tcPr>
          <w:p>
            <w:pPr>
              <w:spacing w:after="0" w:before="0"/>
              <w:jc w:val="right"/>
            </w:pPr>
            <w:r>
              <w:rPr>
                <w:rFonts w:ascii="Arial" w:cs="Arial" w:eastAsia="Arial" w:hAnsi="Arial"/>
                <w:b/>
                <w:bCs/>
                <w:i w:val="false"/>
                <w:iCs w:val="false"/>
                <w:color w:val="B06000"/>
                <w:sz w:val="18"/>
                <w:szCs w:val="18"/>
              </w:rPr>
              <w:t xml:space="preserve">■ ■ □ □ □  2.5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80"/>
              <w:left w:type="dxa" w:w="160"/>
              <w:bottom w:type="dxa" w:w="80"/>
              <w:right w:type="dxa" w:w="160"/>
            </w:tcMar>
          </w:tcPr>
          <w:p>
            <w:pPr>
              <w:spacing w:after="0" w:before="0"/>
              <w:jc w:val="left"/>
            </w:pPr>
            <w:r>
              <w:rPr>
                <w:rFonts w:ascii="Arial" w:cs="Arial" w:eastAsia="Arial" w:hAnsi="Arial"/>
                <w:b w:val="false"/>
                <w:bCs w:val="false"/>
                <w:i w:val="false"/>
                <w:iCs w:val="false"/>
                <w:color w:val="222222"/>
                <w:sz w:val="17"/>
                <w:szCs w:val="17"/>
              </w:rPr>
              <w:t xml:space="preserve">VP-level sponsorship is confirmed and business sponsors are engaged across operations and sales functions. No formal AI governance, risk ownership, or change management capability exists. Data team is near capacity, limiting bandwidth for new AI pipeline work without external support.</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DDDDDD" w:sz="1"/>
              <w:left w:val="single" w:color="DDDDDD" w:sz="1"/>
              <w:bottom w:val="single" w:color="DDDDDD" w:sz="1"/>
              <w:right w:val="single" w:color="DDDDDD" w:sz="1"/>
            </w:tcBorders>
            <w:shd w:fill="FFF8E1" w:val="clear"/>
            <w:tcMar>
              <w:top w:type="dxa" w:w="80"/>
              <w:left w:type="dxa" w:w="160"/>
              <w:bottom w:type="dxa" w:w="80"/>
              <w:right w:type="dxa" w:w="80"/>
            </w:tcMar>
          </w:tcPr>
          <w:p>
            <w:pPr>
              <w:spacing w:after="10" w:before="0"/>
              <w:jc w:val="left"/>
            </w:pPr>
            <w:r>
              <w:rPr>
                <w:rFonts w:ascii="Arial" w:cs="Arial" w:eastAsia="Arial" w:hAnsi="Arial"/>
                <w:b/>
                <w:bCs/>
                <w:i w:val="false"/>
                <w:iCs w:val="false"/>
                <w:color w:val="B06000"/>
                <w:sz w:val="19"/>
                <w:szCs w:val="19"/>
              </w:rPr>
              <w:t xml:space="preserve">Process Readiness</w:t>
            </w:r>
          </w:p>
          <w:p>
            <w:pPr>
              <w:spacing w:after="0" w:before="0"/>
              <w:jc w:val="left"/>
            </w:pPr>
            <w:r>
              <w:rPr>
                <w:rFonts w:ascii="Arial" w:cs="Arial" w:eastAsia="Arial" w:hAnsi="Arial"/>
                <w:b w:val="false"/>
                <w:bCs w:val="false"/>
                <w:i w:val="false"/>
                <w:iCs w:val="false"/>
                <w:color w:val="B06000"/>
                <w:sz w:val="17"/>
                <w:szCs w:val="17"/>
              </w:rPr>
              <w:t xml:space="preserve">Score: 2.5 / 5.0</w:t>
            </w:r>
          </w:p>
        </w:tc>
        <w:tc>
          <w:tcPr>
            <w:tcW w:type="dxa" w:w="2160"/>
            <w:tcBorders>
              <w:top w:val="single" w:color="DDDDDD" w:sz="1"/>
              <w:left w:val="single" w:color="DDDDDD" w:sz="1"/>
              <w:bottom w:val="single" w:color="DDDDDD" w:sz="1"/>
              <w:right w:val="single" w:color="DDDDDD" w:sz="1"/>
            </w:tcBorders>
            <w:shd w:fill="FFF8E1" w:val="clear"/>
            <w:tcMar>
              <w:top w:type="dxa" w:w="80"/>
              <w:left w:type="dxa" w:w="80"/>
              <w:bottom w:type="dxa" w:w="80"/>
              <w:right w:type="dxa" w:w="160"/>
            </w:tcMar>
            <w:vAlign w:val="center"/>
          </w:tcPr>
          <w:p>
            <w:pPr>
              <w:spacing w:after="0" w:before="0"/>
              <w:jc w:val="right"/>
            </w:pPr>
            <w:r>
              <w:rPr>
                <w:rFonts w:ascii="Arial" w:cs="Arial" w:eastAsia="Arial" w:hAnsi="Arial"/>
                <w:b/>
                <w:bCs/>
                <w:i w:val="false"/>
                <w:iCs w:val="false"/>
                <w:color w:val="B06000"/>
                <w:sz w:val="18"/>
                <w:szCs w:val="18"/>
              </w:rPr>
              <w:t xml:space="preserve">■ ■ □ □ □  2.5</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DDDDDD" w:sz="1"/>
              <w:bottom w:val="single" w:color="DDDDDD" w:sz="1"/>
              <w:right w:val="single" w:color="DDDDDD" w:sz="1"/>
            </w:tcBorders>
            <w:tcMar>
              <w:top w:type="dxa" w:w="80"/>
              <w:left w:type="dxa" w:w="160"/>
              <w:bottom w:type="dxa" w:w="80"/>
              <w:right w:type="dxa" w:w="160"/>
            </w:tcMar>
          </w:tcPr>
          <w:p>
            <w:pPr>
              <w:spacing w:after="0" w:before="0"/>
              <w:jc w:val="left"/>
            </w:pPr>
            <w:r>
              <w:rPr>
                <w:rFonts w:ascii="Arial" w:cs="Arial" w:eastAsia="Arial" w:hAnsi="Arial"/>
                <w:b w:val="false"/>
                <w:bCs w:val="false"/>
                <w:i w:val="false"/>
                <w:iCs w:val="false"/>
                <w:color w:val="222222"/>
                <w:sz w:val="17"/>
                <w:szCs w:val="17"/>
              </w:rPr>
              <w:t xml:space="preserve">Operational processes are well-understood with clear quantification of waste. Exception handling and returns processing have defined decision rules, but these are largely undocumented. Demand forecasting process is mature but deeply embedded in manual tooling with associated change management risk.</w:t>
            </w:r>
          </w:p>
        </w:tc>
      </w:tr>
    </w:tbl>
    <w:p>
      <w:pPr>
        <w:spacing w:after="80" w:before="0"/>
      </w:pPr>
      <w:r>
        <w:rPr>
          <w:rFonts w:ascii="Arial" w:cs="Arial" w:eastAsia="Arial" w:hAnsi="Arial"/>
          <w:b w:val="false"/>
          <w:bCs w:val="false"/>
          <w:i w:val="false"/>
          <w:iCs w:val="false"/>
          <w:color w:val="222222"/>
          <w:sz w:val="20"/>
          <w:szCs w:val="20"/>
        </w:rPr>
        <w:t xml:space="preserve"/>
      </w:r>
    </w:p>
    <w:p>
      <w:pPr>
        <w:spacing w:after="60" w:before="120"/>
        <w:jc w:val="left"/>
      </w:pPr>
      <w:r>
        <w:rPr>
          <w:rFonts w:ascii="Arial" w:cs="Arial" w:eastAsia="Arial" w:hAnsi="Arial"/>
          <w:b/>
          <w:bCs/>
          <w:i w:val="false"/>
          <w:iCs w:val="false"/>
          <w:color w:val="E05A20"/>
          <w:sz w:val="19"/>
          <w:szCs w:val="19"/>
        </w:rPr>
        <w:t xml:space="preserve">TWO MOST SIGNIFICANT READINESS GAPS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DDDDDD" w:sz="1"/>
              <w:left w:val="single" w:color="DDDDDD" w:sz="1"/>
              <w:bottom w:val="single" w:color="DDDDDD" w:sz="1"/>
              <w:right w:val="single" w:color="DDDDDD" w:sz="1"/>
            </w:tcBorders>
            <w:shd w:fill="102F60" w:val="clear"/>
            <w:tcMar>
              <w:top w:type="dxa" w:w="80"/>
              <w:left w:type="dxa" w:w="80"/>
              <w:bottom w:type="dxa" w:w="80"/>
              <w:right w:type="dxa" w:w="80"/>
            </w:tcMar>
            <w:vAlign w:val="center"/>
          </w:tcPr>
          <w:p>
            <w:pPr>
              <w:spacing w:after="0" w:before="0"/>
              <w:jc w:val="center"/>
            </w:pPr>
            <w:r>
              <w:rPr>
                <w:rFonts w:ascii="Arial" w:cs="Arial" w:eastAsia="Arial" w:hAnsi="Arial"/>
                <w:b/>
                <w:bCs/>
                <w:i w:val="false"/>
                <w:iCs w:val="false"/>
                <w:color w:val="FFFFFF"/>
                <w:sz w:val="20"/>
                <w:szCs w:val="20"/>
              </w:rPr>
              <w:t xml:space="preserve">1</w:t>
            </w:r>
          </w:p>
        </w:tc>
        <w:tc>
          <w:tcPr>
            <w:tcW w:type="dxa" w:w="8760"/>
            <w:tcBorders>
              <w:top w:val="single" w:color="DDDDDD" w:sz="1"/>
              <w:left w:val="single" w:color="DDDDDD" w:sz="1"/>
              <w:bottom w:val="single" w:color="DDDDDD" w:sz="1"/>
              <w:right w:val="single" w:color="DDDDDD" w:sz="1"/>
            </w:tcBorders>
            <w:tcMar>
              <w:top w:type="dxa" w:w="80"/>
              <w:left w:type="dxa" w:w="140"/>
              <w:bottom w:type="dxa" w:w="80"/>
              <w:right w:type="dxa" w:w="80"/>
            </w:tcMar>
          </w:tcPr>
          <w:p>
            <w:pPr>
              <w:spacing w:after="0" w:before="0"/>
              <w:jc w:val="left"/>
            </w:pPr>
            <w:r>
              <w:rPr>
                <w:rFonts w:ascii="Arial" w:cs="Arial" w:eastAsia="Arial" w:hAnsi="Arial"/>
                <w:b w:val="false"/>
                <w:bCs w:val="false"/>
                <w:i w:val="false"/>
                <w:iCs w:val="false"/>
                <w:color w:val="222222"/>
                <w:sz w:val="17"/>
                <w:szCs w:val="17"/>
              </w:rPr>
              <w:t xml:space="preserve">Data pipeline completeness: the data warehouse lacks the EDI exception logs with resolution labels and near-real-time inventory position feeds required for Wave 1 use cases, creating a 3-4 month preparation workstream before pilot deployment can begin.</w:t>
            </w:r>
          </w:p>
        </w:tc>
      </w:tr>
      <w:tr>
        <w:tc>
          <w:tcPr>
            <w:tcW w:type="dxa" w:w="600"/>
            <w:tcBorders>
              <w:top w:val="single" w:color="DDDDDD" w:sz="1"/>
              <w:left w:val="single" w:color="DDDDDD" w:sz="1"/>
              <w:bottom w:val="single" w:color="DDDDDD" w:sz="1"/>
              <w:right w:val="single" w:color="DDDDDD" w:sz="1"/>
            </w:tcBorders>
            <w:shd w:fill="102F60" w:val="clear"/>
            <w:tcMar>
              <w:top w:type="dxa" w:w="80"/>
              <w:left w:type="dxa" w:w="80"/>
              <w:bottom w:type="dxa" w:w="80"/>
              <w:right w:type="dxa" w:w="80"/>
            </w:tcMar>
            <w:vAlign w:val="center"/>
          </w:tcPr>
          <w:p>
            <w:pPr>
              <w:spacing w:after="0" w:before="0"/>
              <w:jc w:val="center"/>
            </w:pPr>
            <w:r>
              <w:rPr>
                <w:rFonts w:ascii="Arial" w:cs="Arial" w:eastAsia="Arial" w:hAnsi="Arial"/>
                <w:b/>
                <w:bCs/>
                <w:i w:val="false"/>
                <w:iCs w:val="false"/>
                <w:color w:val="FFFFFF"/>
                <w:sz w:val="20"/>
                <w:szCs w:val="20"/>
              </w:rPr>
              <w:t xml:space="preserve">2</w:t>
            </w:r>
          </w:p>
        </w:tc>
        <w:tc>
          <w:tcPr>
            <w:tcW w:type="dxa" w:w="8760"/>
            <w:tcBorders>
              <w:top w:val="single" w:color="DDDDDD" w:sz="1"/>
              <w:left w:val="single" w:color="DDDDDD" w:sz="1"/>
              <w:bottom w:val="single" w:color="DDDDDD" w:sz="1"/>
              <w:right w:val="single" w:color="DDDDDD" w:sz="1"/>
            </w:tcBorders>
            <w:tcMar>
              <w:top w:type="dxa" w:w="80"/>
              <w:left w:type="dxa" w:w="140"/>
              <w:bottom w:type="dxa" w:w="80"/>
              <w:right w:type="dxa" w:w="80"/>
            </w:tcMar>
          </w:tcPr>
          <w:p>
            <w:pPr>
              <w:spacing w:after="0" w:before="0"/>
              <w:jc w:val="left"/>
            </w:pPr>
            <w:r>
              <w:rPr>
                <w:rFonts w:ascii="Arial" w:cs="Arial" w:eastAsia="Arial" w:hAnsi="Arial"/>
                <w:b w:val="false"/>
                <w:bCs w:val="false"/>
                <w:i w:val="false"/>
                <w:iCs w:val="false"/>
                <w:color w:val="222222"/>
                <w:sz w:val="17"/>
                <w:szCs w:val="17"/>
              </w:rPr>
              <w:t xml:space="preserve">Organizational AI readiness: no formal AI governance framework, risk owner, or audit trail requirements have been defined, and the data team is at capacity through the near term, requiring both governance establishment and external implementation support before production deployment is responsible.</w:t>
            </w:r>
          </w:p>
        </w:tc>
      </w:tr>
    </w:tbl>
    <w:p>
      <w:pPr>
        <w:spacing w:after="12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3</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PRIORITIZED USE CASES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Use cases are organized into two implementation waves based on technical readiness, business urgency, and relative ROI.</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bCs/>
                <w:i w:val="false"/>
                <w:iCs w:val="false"/>
                <w:color w:val="2E7D32"/>
                <w:sz w:val="18"/>
                <w:szCs w:val="18"/>
              </w:rPr>
              <w:t xml:space="preserve">WAVE 1 -- RECOMMENDED FOR IMMEDIATE PURSUIT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02F60" w:val="clear"/>
            <w:tcMar>
              <w:top w:type="dxa" w:w="80"/>
              <w:left w:type="dxa" w:w="160"/>
              <w:bottom w:type="dxa" w:w="80"/>
              <w:right w:type="dxa" w:w="160"/>
            </w:tcMar>
          </w:tcPr>
          <w:p>
            <w:pPr>
              <w:spacing w:after="0" w:before="0"/>
              <w:jc w:val="left"/>
            </w:pPr>
            <w:r>
              <w:rPr>
                <w:rFonts w:ascii="Arial" w:cs="Arial" w:eastAsia="Arial" w:hAnsi="Arial"/>
                <w:b/>
                <w:bCs/>
                <w:i w:val="false"/>
                <w:iCs w:val="false"/>
                <w:color w:val="FFFFFF"/>
                <w:sz w:val="18"/>
                <w:szCs w:val="18"/>
              </w:rPr>
              <w:t xml:space="preserve">Intelligent EDI Exception Resolution  |  PROCESS  |  Value: H  |  Investment: 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Current State Pain</w:t>
            </w:r>
          </w:p>
        </w:tc>
        <w:tc>
          <w:tcPr>
            <w:tcW w:type="dxa" w:w="73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180-240 weekly exceptions consuming 2-3 FTEs; major retail partner exceptions requiring 5-30 minutes each; downstream invoicing delays and cash flow impacts.</w:t>
            </w:r>
          </w:p>
        </w:tc>
      </w:tr>
      <w:tr>
        <w:tc>
          <w:tcPr>
            <w:tcW w:type="dxa" w:w="20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AI-Enabled Future State</w:t>
            </w:r>
          </w:p>
        </w:tc>
        <w:tc>
          <w:tcPr>
            <w:tcW w:type="dxa" w:w="7360"/>
            <w:tcBorders>
              <w:top w:val="single" w:color="DDDDDD" w:sz="1"/>
              <w:left w:val="single" w:color="DDDDDD" w:sz="1"/>
              <w:bottom w:val="single" w:color="DDDDDD" w:sz="1"/>
              <w:right w:val="single" w:color="DDDDDD" w:sz="1"/>
            </w:tcBorders>
            <w:shd w:fill="F5F5F5"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AI classification engine automatically resolves 70-80% of exceptions using learned retailer-specific rules; human review queue for complex cases; real-time exception status visibility across all retail partners.</w:t>
            </w:r>
          </w:p>
        </w:tc>
      </w:tr>
      <w:tr>
        <w:tc>
          <w:tcPr>
            <w:tcW w:type="dxa" w:w="20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Prerequisites</w:t>
            </w:r>
          </w:p>
        </w:tc>
        <w:tc>
          <w:tcPr>
            <w:tcW w:type="dxa" w:w="73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Data warehouse pipeline extension for EDI exception logs with 6-12 months of labeled historical data (target: 8 weeks).</w:t>
            </w:r>
          </w:p>
        </w:tc>
      </w:tr>
      <w:tr>
        <w:tc>
          <w:tcPr>
            <w:tcW w:type="dxa" w:w="20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Success Metric</w:t>
            </w:r>
          </w:p>
        </w:tc>
        <w:tc>
          <w:tcPr>
            <w:tcW w:type="dxa" w:w="7360"/>
            <w:tcBorders>
              <w:top w:val="single" w:color="DDDDDD" w:sz="1"/>
              <w:left w:val="single" w:color="DDDDDD" w:sz="1"/>
              <w:bottom w:val="single" w:color="DDDDDD" w:sz="1"/>
              <w:right w:val="single" w:color="DDDDDD" w:sz="1"/>
            </w:tcBorders>
            <w:shd w:fill="F5F5F5"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75% reduction in manual exception handling time within 90 days of deployment; FTE redeployment to higher-value retailer relationship work.</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02F60" w:val="clear"/>
            <w:tcMar>
              <w:top w:type="dxa" w:w="80"/>
              <w:left w:type="dxa" w:w="160"/>
              <w:bottom w:type="dxa" w:w="80"/>
              <w:right w:type="dxa" w:w="160"/>
            </w:tcMar>
          </w:tcPr>
          <w:p>
            <w:pPr>
              <w:spacing w:after="0" w:before="0"/>
              <w:jc w:val="left"/>
            </w:pPr>
            <w:r>
              <w:rPr>
                <w:rFonts w:ascii="Arial" w:cs="Arial" w:eastAsia="Arial" w:hAnsi="Arial"/>
                <w:b/>
                <w:bCs/>
                <w:i w:val="false"/>
                <w:iCs w:val="false"/>
                <w:color w:val="FFFFFF"/>
                <w:sz w:val="18"/>
                <w:szCs w:val="18"/>
              </w:rPr>
              <w:t xml:space="preserve">Proactive Out-of-Stock Alert System  |  MONITOR  |  Value: H  |  Investment: 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Current State Pain</w:t>
            </w:r>
          </w:p>
        </w:tc>
        <w:tc>
          <w:tcPr>
            <w:tcW w:type="dxa" w:w="73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Out-of-stocks discovered reactively after retailer contact; fragmented inventory visibility across SAP and WMS; $1.5M+ revenue loss demonstrated from undetected demand spike.</w:t>
            </w:r>
          </w:p>
        </w:tc>
      </w:tr>
      <w:tr>
        <w:tc>
          <w:tcPr>
            <w:tcW w:type="dxa" w:w="20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AI-Enabled Future State</w:t>
            </w:r>
          </w:p>
        </w:tc>
        <w:tc>
          <w:tcPr>
            <w:tcW w:type="dxa" w:w="7360"/>
            <w:tcBorders>
              <w:top w:val="single" w:color="DDDDDD" w:sz="1"/>
              <w:left w:val="single" w:color="DDDDDD" w:sz="1"/>
              <w:bottom w:val="single" w:color="DDDDDD" w:sz="1"/>
              <w:right w:val="single" w:color="DDDDDD" w:sz="1"/>
            </w:tcBorders>
            <w:shd w:fill="F5F5F5"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Automated monitoring of inventory positions against demand forecast and historical velocity patterns; proactive alerts to operations and sales 72+ hours before projected stockout; integrated with existing communication platforms.</w:t>
            </w:r>
          </w:p>
        </w:tc>
      </w:tr>
      <w:tr>
        <w:tc>
          <w:tcPr>
            <w:tcW w:type="dxa" w:w="20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Prerequisites</w:t>
            </w:r>
          </w:p>
        </w:tc>
        <w:tc>
          <w:tcPr>
            <w:tcW w:type="dxa" w:w="73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SAP inventory data latency reduction to near-real-time or hourly refresh (target: 10 weeks); WMS inventory position feed integration.</w:t>
            </w:r>
          </w:p>
        </w:tc>
      </w:tr>
      <w:tr>
        <w:tc>
          <w:tcPr>
            <w:tcW w:type="dxa" w:w="20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Success Metric</w:t>
            </w:r>
          </w:p>
        </w:tc>
        <w:tc>
          <w:tcPr>
            <w:tcW w:type="dxa" w:w="7360"/>
            <w:tcBorders>
              <w:top w:val="single" w:color="DDDDDD" w:sz="1"/>
              <w:left w:val="single" w:color="DDDDDD" w:sz="1"/>
              <w:bottom w:val="single" w:color="DDDDDD" w:sz="1"/>
              <w:right w:val="single" w:color="DDDDDD" w:sz="1"/>
            </w:tcBorders>
            <w:shd w:fill="F5F5F5"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80% of stockout risk events detected 72+ hours in advance; measurable reduction in reactive retailer communication volume.</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02F60" w:val="clear"/>
            <w:tcMar>
              <w:top w:type="dxa" w:w="80"/>
              <w:left w:type="dxa" w:w="160"/>
              <w:bottom w:type="dxa" w:w="80"/>
              <w:right w:type="dxa" w:w="160"/>
            </w:tcMar>
          </w:tcPr>
          <w:p>
            <w:pPr>
              <w:spacing w:after="0" w:before="0"/>
              <w:jc w:val="left"/>
            </w:pPr>
            <w:r>
              <w:rPr>
                <w:rFonts w:ascii="Arial" w:cs="Arial" w:eastAsia="Arial" w:hAnsi="Arial"/>
                <w:b/>
                <w:bCs/>
                <w:i w:val="false"/>
                <w:iCs w:val="false"/>
                <w:color w:val="FFFFFF"/>
                <w:sz w:val="18"/>
                <w:szCs w:val="18"/>
              </w:rPr>
              <w:t xml:space="preserve">Automated Retailer Business Review Generator  |  COMMUNICATE  |  Value: H  |  Investment: 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Current State Pain</w:t>
            </w:r>
          </w:p>
        </w:tc>
        <w:tc>
          <w:tcPr>
            <w:tcW w:type="dxa" w:w="73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35-45 annual reviews requiring 2-3 days each (70-135 person-days per year); experienced sales ops staff producing repetitive reports rather than doing revenue-generating account strategy work.</w:t>
            </w:r>
          </w:p>
        </w:tc>
      </w:tr>
      <w:tr>
        <w:tc>
          <w:tcPr>
            <w:tcW w:type="dxa" w:w="20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AI-Enabled Future State</w:t>
            </w:r>
          </w:p>
        </w:tc>
        <w:tc>
          <w:tcPr>
            <w:tcW w:type="dxa" w:w="7360"/>
            <w:tcBorders>
              <w:top w:val="single" w:color="DDDDDD" w:sz="1"/>
              <w:left w:val="single" w:color="DDDDDD" w:sz="1"/>
              <w:bottom w:val="single" w:color="DDDDDD" w:sz="1"/>
              <w:right w:val="single" w:color="DDDDDD" w:sz="1"/>
            </w:tcBorders>
            <w:shd w:fill="F5F5F5"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AI-generated first draft of retailer business review in under 30 minutes from structured data inputs; advisor review and customization before delivery; retailer-specific templates maintained in centralized repository.</w:t>
            </w:r>
          </w:p>
        </w:tc>
      </w:tr>
      <w:tr>
        <w:tc>
          <w:tcPr>
            <w:tcW w:type="dxa" w:w="20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Prerequisites</w:t>
            </w:r>
          </w:p>
        </w:tc>
        <w:tc>
          <w:tcPr>
            <w:tcW w:type="dxa" w:w="7360"/>
            <w:tcBorders>
              <w:top w:val="single" w:color="DDDDDD" w:sz="1"/>
              <w:left w:val="single" w:color="DDDDDD" w:sz="1"/>
              <w:bottom w:val="single" w:color="DDDDDD" w:sz="1"/>
              <w:right w:val="single" w:color="DDDDDD" w:sz="1"/>
            </w:tcBorders>
            <w:shd w:fill="FFFFFF"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Retailer portal access coordination and vendor approval processes (target: 4-6 weeks); template standardization working session with sales ops team.</w:t>
            </w:r>
          </w:p>
        </w:tc>
      </w:tr>
      <w:tr>
        <w:tc>
          <w:tcPr>
            <w:tcW w:type="dxa" w:w="2000"/>
            <w:tcBorders>
              <w:top w:val="single" w:color="DDDDDD" w:sz="1"/>
              <w:left w:val="single" w:color="DDDDDD" w:sz="1"/>
              <w:bottom w:val="single" w:color="DDDDDD" w:sz="1"/>
              <w:right w:val="single" w:color="DDDDDD" w:sz="1"/>
            </w:tcBorders>
            <w:shd w:fill="EEF4FB" w:val="clear"/>
            <w:tcMar>
              <w:top w:type="dxa" w:w="60"/>
              <w:left w:type="dxa" w:w="120"/>
              <w:bottom w:type="dxa" w:w="60"/>
              <w:right w:type="dxa" w:w="80"/>
            </w:tcMar>
          </w:tcPr>
          <w:p>
            <w:pPr>
              <w:spacing w:after="0" w:before="0"/>
              <w:jc w:val="left"/>
            </w:pPr>
            <w:r>
              <w:rPr>
                <w:rFonts w:ascii="Arial" w:cs="Arial" w:eastAsia="Arial" w:hAnsi="Arial"/>
                <w:b/>
                <w:bCs/>
                <w:i w:val="false"/>
                <w:iCs w:val="false"/>
                <w:color w:val="102F60"/>
                <w:sz w:val="17"/>
                <w:szCs w:val="17"/>
              </w:rPr>
              <w:t xml:space="preserve">Success Metric</w:t>
            </w:r>
          </w:p>
        </w:tc>
        <w:tc>
          <w:tcPr>
            <w:tcW w:type="dxa" w:w="7360"/>
            <w:tcBorders>
              <w:top w:val="single" w:color="DDDDDD" w:sz="1"/>
              <w:left w:val="single" w:color="DDDDDD" w:sz="1"/>
              <w:bottom w:val="single" w:color="DDDDDD" w:sz="1"/>
              <w:right w:val="single" w:color="DDDDDD" w:sz="1"/>
            </w:tcBorders>
            <w:shd w:fill="F5F5F5" w:val="clear"/>
            <w:tcMar>
              <w:top w:type="dxa" w:w="60"/>
              <w:left w:type="dxa" w:w="120"/>
              <w:bottom w:type="dxa" w:w="60"/>
              <w:right w:type="dxa" w:w="80"/>
            </w:tcMar>
          </w:tcPr>
          <w:p>
            <w:pPr>
              <w:spacing w:after="0" w:before="0"/>
              <w:jc w:val="left"/>
            </w:pPr>
            <w:r>
              <w:rPr>
                <w:rFonts w:ascii="Arial" w:cs="Arial" w:eastAsia="Arial" w:hAnsi="Arial"/>
                <w:b w:val="false"/>
                <w:bCs w:val="false"/>
                <w:i w:val="false"/>
                <w:iCs w:val="false"/>
                <w:color w:val="222222"/>
                <w:sz w:val="17"/>
                <w:szCs w:val="17"/>
              </w:rPr>
              <w:t xml:space="preserve">Reduction from 2-3 days to under 4 hours per review; 70-135 person-days per year redeployed to account strategy and customer success.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bCs/>
                <w:i w:val="false"/>
                <w:iCs w:val="false"/>
                <w:color w:val="B06000"/>
                <w:sz w:val="18"/>
                <w:szCs w:val="18"/>
              </w:rPr>
              <w:t xml:space="preserve">WAVE 2 -- PENDING PREREQUISITE RESOLUTION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900"/>
        <w:gridCol w:w="1400"/>
        <w:gridCol w:w="4660"/>
      </w:tblGrid>
      <w:tr>
        <w:tc>
          <w:tcPr>
            <w:tcBorders>
              <w:top w:val="single" w:color="DDDDDD" w:sz="1"/>
              <w:left w:val="single" w:color="DDDDDD" w:sz="1"/>
              <w:bottom w:val="single" w:color="DDDDDD" w:sz="1"/>
              <w:right w:val="single" w:color="DDDDDD" w:sz="1"/>
            </w:tcBorders>
            <w:shd w:fill="B0600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Use Case</w:t>
            </w:r>
          </w:p>
        </w:tc>
        <w:tc>
          <w:tcPr>
            <w:tcBorders>
              <w:top w:val="single" w:color="DDDDDD" w:sz="1"/>
              <w:left w:val="single" w:color="DDDDDD" w:sz="1"/>
              <w:bottom w:val="single" w:color="DDDDDD" w:sz="1"/>
              <w:right w:val="single" w:color="DDDDDD" w:sz="1"/>
            </w:tcBorders>
            <w:shd w:fill="B0600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Lens</w:t>
            </w:r>
          </w:p>
        </w:tc>
        <w:tc>
          <w:tcPr>
            <w:tcBorders>
              <w:top w:val="single" w:color="DDDDDD" w:sz="1"/>
              <w:left w:val="single" w:color="DDDDDD" w:sz="1"/>
              <w:bottom w:val="single" w:color="DDDDDD" w:sz="1"/>
              <w:right w:val="single" w:color="DDDDDD" w:sz="1"/>
            </w:tcBorders>
            <w:shd w:fill="B0600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Value / Inv</w:t>
            </w:r>
          </w:p>
        </w:tc>
        <w:tc>
          <w:tcPr>
            <w:tcBorders>
              <w:top w:val="single" w:color="DDDDDD" w:sz="1"/>
              <w:left w:val="single" w:color="DDDDDD" w:sz="1"/>
              <w:bottom w:val="single" w:color="DDDDDD" w:sz="1"/>
              <w:right w:val="single" w:color="DDDDDD" w:sz="1"/>
            </w:tcBorders>
            <w:shd w:fill="B0600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Blocking Prerequisite</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Viral Demand Spike Detection System</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MONITOR</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H / H</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Social media data access or third-party listening tool procurement; Wave 1 inventory integration as foundation</w:t>
            </w:r>
          </w:p>
        </w:tc>
      </w:tr>
      <w:tr>
        <w:tc>
          <w:tcPr>
            <w:tcBorders>
              <w:top w:val="single" w:color="DDDDDD" w:sz="1"/>
              <w:left w:val="single" w:color="DDDDDD" w:sz="1"/>
              <w:bottom w:val="single" w:color="DDDDDD" w:sz="1"/>
              <w:right w:val="single" w:color="DDDDDD" w:sz="1"/>
            </w:tcBorders>
            <w:shd w:fill="FFF8E1"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Predictive Demand Forecasting Engine</w:t>
            </w:r>
          </w:p>
        </w:tc>
        <w:tc>
          <w:tcPr>
            <w:tcBorders>
              <w:top w:val="single" w:color="DDDDDD" w:sz="1"/>
              <w:left w:val="single" w:color="DDDDDD" w:sz="1"/>
              <w:bottom w:val="single" w:color="DDDDDD" w:sz="1"/>
              <w:right w:val="single" w:color="DDDDDD" w:sz="1"/>
            </w:tcBorders>
            <w:shd w:fill="FFF8E1"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DECIDE</w:t>
            </w:r>
          </w:p>
        </w:tc>
        <w:tc>
          <w:tcPr>
            <w:tcBorders>
              <w:top w:val="single" w:color="DDDDDD" w:sz="1"/>
              <w:left w:val="single" w:color="DDDDDD" w:sz="1"/>
              <w:bottom w:val="single" w:color="DDDDDD" w:sz="1"/>
              <w:right w:val="single" w:color="DDDDDD" w:sz="1"/>
            </w:tcBorders>
            <w:shd w:fill="FFF8E1"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H / H</w:t>
            </w:r>
          </w:p>
        </w:tc>
        <w:tc>
          <w:tcPr>
            <w:tcBorders>
              <w:top w:val="single" w:color="DDDDDD" w:sz="1"/>
              <w:left w:val="single" w:color="DDDDDD" w:sz="1"/>
              <w:bottom w:val="single" w:color="DDDDDD" w:sz="1"/>
              <w:right w:val="single" w:color="DDDDDD" w:sz="1"/>
            </w:tcBorders>
            <w:shd w:fill="FFF8E1"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2-3 years of daily sales history in data warehouse; change management plan for sales planning team migration from spreadsheet process</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Automated Returns Processing</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PROCESS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M / M</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Structured data capture validation; disposition criteria documentation; 2-3 months of labeled training data if unstructured</w:t>
            </w:r>
          </w:p>
        </w:tc>
      </w:tr>
    </w:tbl>
    <w:p>
      <w:pPr>
        <w:spacing w:after="12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4</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PREPARATION ROADMAP</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The preparation roadmap identifies workstreams that must be activated in parallel with or before Wave 1 use case development.</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bCs/>
                <w:i w:val="false"/>
                <w:iCs w:val="false"/>
                <w:color w:val="102F60"/>
                <w:sz w:val="18"/>
                <w:szCs w:val="18"/>
              </w:rPr>
              <w:t xml:space="preserve">Data Integration and Pipeline Extension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2400"/>
        <w:gridCol w:w="1760"/>
      </w:tblGrid>
      <w:tr>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Activity</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Owner</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Timeline</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Critical Path?</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Extend data warehouse pipeline for EDI exception logs with resolution labels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Data Engineering</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8 weeks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bCs/>
                <w:i w:val="false"/>
                <w:iCs w:val="false"/>
                <w:color w:val="E05A20"/>
                <w:sz w:val="16"/>
                <w:szCs w:val="16"/>
              </w:rPr>
              <w:t xml:space="preserve">YES</w:t>
            </w:r>
          </w:p>
        </w:tc>
      </w:tr>
      <w:tr>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Reduce SAP inventory data latency to near-real-time or hourly refresh</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Data Engineering / SAP Team</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10 weeks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bCs/>
                <w:i w:val="false"/>
                <w:iCs w:val="false"/>
                <w:color w:val="E05A20"/>
                <w:sz w:val="16"/>
                <w:szCs w:val="16"/>
              </w:rPr>
              <w:t xml:space="preserve">YES</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Validate returns data structure and document disposition decision criteria</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Operations / Data Engineering</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6 weeks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No</w:t>
            </w:r>
          </w:p>
        </w:tc>
      </w:tr>
      <w:tr>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Assess retailer POS data integration feasibility for Wave 2 forecasting</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Data Engineering</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8 weeks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No</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bCs/>
                <w:i w:val="false"/>
                <w:iCs w:val="false"/>
                <w:color w:val="102F60"/>
                <w:sz w:val="18"/>
                <w:szCs w:val="18"/>
              </w:rPr>
              <w:t xml:space="preserve">AI Governance and Risk Framework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2400"/>
        <w:gridCol w:w="1760"/>
      </w:tblGrid>
      <w:tr>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Activity</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Owner</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Timeline</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Critical Path?</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Define AI acceptable use policy and model risk management standards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VP Technology / Legal</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4 weeks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bCs/>
                <w:i w:val="false"/>
                <w:iCs w:val="false"/>
                <w:color w:val="E05A20"/>
                <w:sz w:val="16"/>
                <w:szCs w:val="16"/>
              </w:rPr>
              <w:t xml:space="preserve">YES</w:t>
            </w:r>
          </w:p>
        </w:tc>
      </w:tr>
      <w:tr>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Assign named AI risk owner and establish model review process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VP Technology</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2 weeks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bCs/>
                <w:i w:val="false"/>
                <w:iCs w:val="false"/>
                <w:color w:val="E05A20"/>
                <w:sz w:val="16"/>
                <w:szCs w:val="16"/>
              </w:rPr>
              <w:t xml:space="preserve">YES</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Design human review queue and audit trail requirements for Wave 1 use cases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Operations / IT</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4 weeks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No</w:t>
            </w:r>
          </w:p>
        </w:tc>
      </w:tr>
      <w:tr>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Develop AI change management and communication plan for sales planning team</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HR / Sales Planning</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6 weeks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No</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bCs/>
                <w:i w:val="false"/>
                <w:iCs w:val="false"/>
                <w:color w:val="102F60"/>
                <w:sz w:val="18"/>
                <w:szCs w:val="18"/>
              </w:rPr>
              <w:t xml:space="preserve">External Implementation Partnership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2400"/>
        <w:gridCol w:w="1760"/>
      </w:tblGrid>
      <w:tr>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Activity</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Owner</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Timeline</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Critical Path?</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Define implementation partner requirements and scope of work</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VP Technology / AdoptingAI</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3 weeks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bCs/>
                <w:i w:val="false"/>
                <w:iCs w:val="false"/>
                <w:color w:val="E05A20"/>
                <w:sz w:val="16"/>
                <w:szCs w:val="16"/>
              </w:rPr>
              <w:t xml:space="preserve">YES</w:t>
            </w:r>
          </w:p>
        </w:tc>
      </w:tr>
      <w:tr>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Conduct partner selection and procurement process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Procurement / IT</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6 weeks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bCs/>
                <w:i w:val="false"/>
                <w:iCs w:val="false"/>
                <w:color w:val="E05A20"/>
                <w:sz w:val="16"/>
                <w:szCs w:val="16"/>
              </w:rPr>
              <w:t xml:space="preserve">YES</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Complete partner onboarding and environment access setup</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IT / Data Engineering</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4 weeks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No</w:t>
            </w:r>
          </w:p>
        </w:tc>
      </w:tr>
      <w:tr>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Establish ongoing managed AI service model for model monitoring and retraining</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IT / Partner</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8 weeks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No</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DDDDD" w:sz="1"/>
              <w:left w:val="single" w:color="DDDDDD" w:sz="1"/>
              <w:bottom w:val="single" w:color="DDDDDD" w:sz="1"/>
              <w:right w:val="single" w:color="DDDDDD" w:sz="1"/>
            </w:tcBorders>
            <w:shd w:fill="EEF4FB" w:val="clear"/>
            <w:tcMar>
              <w:top w:type="dxa" w:w="60"/>
              <w:left w:type="dxa" w:w="160"/>
              <w:bottom w:type="dxa" w:w="60"/>
              <w:right w:type="dxa" w:w="160"/>
            </w:tcMar>
          </w:tcPr>
          <w:p>
            <w:pPr>
              <w:spacing w:after="0" w:before="0"/>
              <w:jc w:val="left"/>
            </w:pPr>
            <w:r>
              <w:rPr>
                <w:rFonts w:ascii="Arial" w:cs="Arial" w:eastAsia="Arial" w:hAnsi="Arial"/>
                <w:b/>
                <w:bCs/>
                <w:i w:val="false"/>
                <w:iCs w:val="false"/>
                <w:color w:val="102F60"/>
                <w:sz w:val="18"/>
                <w:szCs w:val="18"/>
              </w:rPr>
              <w:t xml:space="preserve">Retailer and Partner Coordination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2400"/>
        <w:gridCol w:w="1760"/>
      </w:tblGrid>
      <w:tr>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Activity</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Owner</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Timeline</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Critical Path?</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Initiate vendor approval processes with major retail partners for portal access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Sales Operations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2 weeks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bCs/>
                <w:i w:val="false"/>
                <w:iCs w:val="false"/>
                <w:color w:val="E05A20"/>
                <w:sz w:val="16"/>
                <w:szCs w:val="16"/>
              </w:rPr>
              <w:t xml:space="preserve">YES</w:t>
            </w:r>
          </w:p>
        </w:tc>
      </w:tr>
      <w:tr>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Conduct template standardization working session with sales ops team</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Sales Operations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3 weeks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No</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Document retailer-specific business review requirements in centralized repository</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Sales Operations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4 weeks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No</w:t>
            </w:r>
          </w:p>
        </w:tc>
      </w:tr>
      <w:tr>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Assess EDI exception patterns by retail partner to prioritize automation rules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Operations / Data Engineering</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5 weeks</w:t>
            </w:r>
          </w:p>
        </w:tc>
        <w:tc>
          <w:tcPr>
            <w:tcBorders>
              <w:top w:val="single" w:color="DDDDDD" w:sz="1"/>
              <w:left w:val="single" w:color="DDDDDD" w:sz="1"/>
              <w:bottom w:val="single" w:color="DDDDDD" w:sz="1"/>
              <w:right w:val="single" w:color="DDDDDD" w:sz="1"/>
            </w:tcBorders>
            <w:shd w:fill="EEF4FB"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No</w:t>
            </w:r>
          </w:p>
        </w:tc>
      </w:tr>
    </w:tbl>
    <w:p>
      <w:pPr>
        <w:spacing w:after="80" w:before="0"/>
      </w:pPr>
      <w:r>
        <w:rPr>
          <w:rFonts w:ascii="Arial" w:cs="Arial" w:eastAsia="Arial" w:hAnsi="Arial"/>
          <w:b w:val="false"/>
          <w:bCs w:val="false"/>
          <w:i w:val="false"/>
          <w:iCs w:val="false"/>
          <w:color w:val="222222"/>
          <w:sz w:val="20"/>
          <w:szCs w:val="20"/>
        </w:rPr>
        <w:t xml:space="preserve"/>
      </w:r>
    </w:p>
    <w:p>
      <w:pPr>
        <w:spacing w:after="60" w:before="120"/>
        <w:jc w:val="left"/>
      </w:pPr>
      <w:r>
        <w:rPr>
          <w:rFonts w:ascii="Arial" w:cs="Arial" w:eastAsia="Arial" w:hAnsi="Arial"/>
          <w:b/>
          <w:bCs/>
          <w:i w:val="false"/>
          <w:iCs w:val="false"/>
          <w:color w:val="3A80C8"/>
          <w:sz w:val="19"/>
          <w:szCs w:val="19"/>
        </w:rPr>
        <w:t xml:space="preserve">INDICATIVE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Phase 1 -- Foundation (Weeks 1-10)</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Phase 2 -- Wave 1 Build (Weeks 8-20)</w:t>
            </w:r>
          </w:p>
        </w:tc>
        <w:tc>
          <w:tcPr>
            <w:tcBorders>
              <w:top w:val="single" w:color="DDDDDD" w:sz="1"/>
              <w:left w:val="single" w:color="DDDDDD" w:sz="1"/>
              <w:bottom w:val="single" w:color="DDDDDD" w:sz="1"/>
              <w:right w:val="single" w:color="DDDDDD" w:sz="1"/>
            </w:tcBorders>
            <w:shd w:fill="102F6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Phase 3 -- Scale and Wave 2 (Months 6-12)</w:t>
            </w:r>
          </w:p>
        </w:tc>
      </w:tr>
      <w:tr>
        <w:tc>
          <w:tcPr>
            <w:tcBorders>
              <w:top w:val="single" w:color="DDDDDD" w:sz="1"/>
              <w:left w:val="single" w:color="DDDDDD" w:sz="1"/>
              <w:bottom w:val="single" w:color="DDDDDD" w:sz="1"/>
              <w:right w:val="single" w:color="DDDDDD" w:sz="1"/>
            </w:tcBorders>
            <w:shd w:fill="FFFFFF" w:val="clear"/>
            <w:tcMar>
              <w:top w:type="dxa" w:w="80"/>
              <w:left w:type="dxa" w:w="80"/>
              <w:bottom w:type="dxa" w:w="80"/>
              <w:right w:type="dxa" w:w="60"/>
            </w:tcMar>
          </w:tcPr>
          <w:p>
            <w:pPr>
              <w:spacing w:after="0" w:before="0"/>
              <w:jc w:val="left"/>
            </w:pPr>
            <w:r>
              <w:rPr>
                <w:rFonts w:ascii="Arial" w:cs="Arial" w:eastAsia="Arial" w:hAnsi="Arial"/>
                <w:b w:val="false"/>
                <w:bCs w:val="false"/>
                <w:i w:val="false"/>
                <w:iCs w:val="false"/>
                <w:color w:val="222222"/>
                <w:sz w:val="16"/>
                <w:szCs w:val="16"/>
              </w:rPr>
              <w:t xml:space="preserve">Data pipeline extension, governance framework, partner selection, retailer portal access coordination.</w:t>
            </w:r>
          </w:p>
        </w:tc>
        <w:tc>
          <w:tcPr>
            <w:tcBorders>
              <w:top w:val="single" w:color="DDDDDD" w:sz="1"/>
              <w:left w:val="single" w:color="DDDDDD" w:sz="1"/>
              <w:bottom w:val="single" w:color="DDDDDD" w:sz="1"/>
              <w:right w:val="single" w:color="DDDDDD" w:sz="1"/>
            </w:tcBorders>
            <w:shd w:fill="EEF4FB" w:val="clear"/>
            <w:tcMar>
              <w:top w:type="dxa" w:w="80"/>
              <w:left w:type="dxa" w:w="80"/>
              <w:bottom w:type="dxa" w:w="80"/>
              <w:right w:type="dxa" w:w="60"/>
            </w:tcMar>
          </w:tcPr>
          <w:p>
            <w:pPr>
              <w:spacing w:after="0" w:before="0"/>
              <w:jc w:val="left"/>
            </w:pPr>
            <w:r>
              <w:rPr>
                <w:rFonts w:ascii="Arial" w:cs="Arial" w:eastAsia="Arial" w:hAnsi="Arial"/>
                <w:b w:val="false"/>
                <w:bCs w:val="false"/>
                <w:i w:val="false"/>
                <w:iCs w:val="false"/>
                <w:color w:val="222222"/>
                <w:sz w:val="16"/>
                <w:szCs w:val="16"/>
              </w:rPr>
              <w:t xml:space="preserve">EDI exception resolution pilot, out-of-stock alert system build, retailer business review generator build and testing.</w:t>
            </w:r>
          </w:p>
        </w:tc>
        <w:tc>
          <w:tcPr>
            <w:tcBorders>
              <w:top w:val="single" w:color="DDDDDD" w:sz="1"/>
              <w:left w:val="single" w:color="DDDDDD" w:sz="1"/>
              <w:bottom w:val="single" w:color="DDDDDD" w:sz="1"/>
              <w:right w:val="single" w:color="DDDDDD" w:sz="1"/>
            </w:tcBorders>
            <w:shd w:fill="FFFFFF" w:val="clear"/>
            <w:tcMar>
              <w:top w:type="dxa" w:w="80"/>
              <w:left w:type="dxa" w:w="80"/>
              <w:bottom w:type="dxa" w:w="80"/>
              <w:right w:type="dxa" w:w="60"/>
            </w:tcMar>
          </w:tcPr>
          <w:p>
            <w:pPr>
              <w:spacing w:after="0" w:before="0"/>
              <w:jc w:val="left"/>
            </w:pPr>
            <w:r>
              <w:rPr>
                <w:rFonts w:ascii="Arial" w:cs="Arial" w:eastAsia="Arial" w:hAnsi="Arial"/>
                <w:b w:val="false"/>
                <w:bCs w:val="false"/>
                <w:i w:val="false"/>
                <w:iCs w:val="false"/>
                <w:color w:val="222222"/>
                <w:sz w:val="16"/>
                <w:szCs w:val="16"/>
              </w:rPr>
              <w:t xml:space="preserve">Wave 1 production deployment and monitoring, Wave 2 prerequisite completion, demand forecasting and viral spike detection development.</w:t>
            </w:r>
          </w:p>
        </w:tc>
      </w:tr>
    </w:tbl>
    <w:p>
      <w:pPr>
        <w:spacing w:after="12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5</w:t>
            </w:r>
          </w:p>
        </w:tc>
        <w:tc>
          <w:tcPr>
            <w:tcW w:type="dxa" w:w="8760"/>
            <w:tcBorders>
              <w:top w:val="none" w:color="FFFFFF" w:sz="0"/>
              <w:left w:val="none" w:color="FFFFFF" w:sz="0"/>
              <w:bottom w:val="none" w:color="FFFFFF" w:sz="0"/>
              <w:right w:val="none" w:color="FFFFFF" w:sz="0"/>
            </w:tcBorders>
            <w:shd w:fill="E05A2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RECOMMENDED NEXT STEPS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iCs/>
                <w:color w:val="555555"/>
                <w:sz w:val="17"/>
                <w:szCs w:val="17"/>
              </w:rPr>
              <w:t xml:space="preserve">Specific actions to move this engagement forward. Critical path items must be activated before Wave 1 can proceed.</w:t>
            </w:r>
          </w:p>
        </w:tc>
      </w:tr>
    </w:tbl>
    <w:p>
      <w:pPr>
        <w:spacing w:after="6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2000"/>
        <w:gridCol w:w="1760"/>
      </w:tblGrid>
      <w:tr>
        <w:tc>
          <w:tcPr>
            <w:tcBorders>
              <w:top w:val="single" w:color="DDDDDD" w:sz="1"/>
              <w:left w:val="single" w:color="DDDDDD" w:sz="1"/>
              <w:bottom w:val="single" w:color="DDDDDD" w:sz="1"/>
              <w:right w:val="single" w:color="DDDDDD" w:sz="1"/>
            </w:tcBorders>
            <w:shd w:fill="E05A2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Action</w:t>
            </w:r>
          </w:p>
        </w:tc>
        <w:tc>
          <w:tcPr>
            <w:tcBorders>
              <w:top w:val="single" w:color="DDDDDD" w:sz="1"/>
              <w:left w:val="single" w:color="DDDDDD" w:sz="1"/>
              <w:bottom w:val="single" w:color="DDDDDD" w:sz="1"/>
              <w:right w:val="single" w:color="DDDDDD" w:sz="1"/>
            </w:tcBorders>
            <w:shd w:fill="E05A2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Owner</w:t>
            </w:r>
          </w:p>
        </w:tc>
        <w:tc>
          <w:tcPr>
            <w:tcBorders>
              <w:top w:val="single" w:color="DDDDDD" w:sz="1"/>
              <w:left w:val="single" w:color="DDDDDD" w:sz="1"/>
              <w:bottom w:val="single" w:color="DDDDDD" w:sz="1"/>
              <w:right w:val="single" w:color="DDDDDD" w:sz="1"/>
            </w:tcBorders>
            <w:shd w:fill="E05A2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Timing</w:t>
            </w:r>
          </w:p>
        </w:tc>
        <w:tc>
          <w:tcPr>
            <w:tcBorders>
              <w:top w:val="single" w:color="DDDDDD" w:sz="1"/>
              <w:left w:val="single" w:color="DDDDDD" w:sz="1"/>
              <w:bottom w:val="single" w:color="DDDDDD" w:sz="1"/>
              <w:right w:val="single" w:color="DDDDDD" w:sz="1"/>
            </w:tcBorders>
            <w:shd w:fill="E05A20" w:val="clear"/>
            <w:tcMar>
              <w:top w:type="dxa" w:w="60"/>
              <w:left w:type="dxa" w:w="80"/>
              <w:bottom w:type="dxa" w:w="60"/>
              <w:right w:type="dxa" w:w="60"/>
            </w:tcMar>
          </w:tcPr>
          <w:p>
            <w:pPr>
              <w:spacing w:after="0" w:before="0"/>
              <w:jc w:val="left"/>
            </w:pPr>
            <w:r>
              <w:rPr>
                <w:rFonts w:ascii="Arial" w:cs="Arial" w:eastAsia="Arial" w:hAnsi="Arial"/>
                <w:b/>
                <w:bCs/>
                <w:i w:val="false"/>
                <w:iCs w:val="false"/>
                <w:color w:val="FFFFFF"/>
                <w:sz w:val="16"/>
                <w:szCs w:val="16"/>
              </w:rPr>
              <w:t xml:space="preserve">Critical Path?</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Assign named AI risk owner and kick off governance framework development</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VP Technology</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Week 1</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bCs/>
                <w:i w:val="false"/>
                <w:iCs w:val="false"/>
                <w:color w:val="E05A20"/>
                <w:sz w:val="16"/>
                <w:szCs w:val="16"/>
              </w:rPr>
              <w:t xml:space="preserve">YES</w:t>
            </w:r>
          </w:p>
        </w:tc>
      </w:tr>
      <w:tr>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Initiate vendor approval processes with major retail partners</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VP Sales Operations</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Week 1</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bCs/>
                <w:i w:val="false"/>
                <w:iCs w:val="false"/>
                <w:color w:val="E05A20"/>
                <w:sz w:val="16"/>
                <w:szCs w:val="16"/>
              </w:rPr>
              <w:t xml:space="preserve">YES</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Begin data warehouse pipeline extension for EDI exception logs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Data Engineering Lead</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Week 2</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bCs/>
                <w:i w:val="false"/>
                <w:iCs w:val="false"/>
                <w:color w:val="E05A20"/>
                <w:sz w:val="16"/>
                <w:szCs w:val="16"/>
              </w:rPr>
              <w:t xml:space="preserve">YES</w:t>
            </w:r>
          </w:p>
        </w:tc>
      </w:tr>
      <w:tr>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Define implementation partner requirements and issue scope of work</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VP Technology / AdoptingAI</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Week 2</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bCs/>
                <w:i w:val="false"/>
                <w:iCs w:val="false"/>
                <w:color w:val="E05A20"/>
                <w:sz w:val="16"/>
                <w:szCs w:val="16"/>
              </w:rPr>
              <w:t xml:space="preserve">YES</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Conduct template standardization working session with sales ops team</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VP Sales Operations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Week 3</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No</w:t>
            </w:r>
          </w:p>
        </w:tc>
      </w:tr>
      <w:tr>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Complete SAP inventory latency assessment and reduction plan</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IT / SAP Team</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Week 3</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No</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Document returns disposition criteria and assess structured data availability</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Operations Lead</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Week 4</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No</w:t>
            </w:r>
          </w:p>
        </w:tc>
      </w:tr>
      <w:tr>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Complete implementation partner selection and begin procurement</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Procurement / IT</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Week 6</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bCs/>
                <w:i w:val="false"/>
                <w:iCs w:val="false"/>
                <w:color w:val="E05A20"/>
                <w:sz w:val="16"/>
                <w:szCs w:val="16"/>
              </w:rPr>
              <w:t xml:space="preserve">YES</w:t>
            </w:r>
          </w:p>
        </w:tc>
      </w:tr>
      <w:tr>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Validate data warehouse pipeline coverage for Wave 1 use cases</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Data Engineering Lead</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Week 8</w:t>
            </w:r>
          </w:p>
        </w:tc>
        <w:tc>
          <w:tcPr>
            <w:tcBorders>
              <w:top w:val="single" w:color="DDDDDD" w:sz="1"/>
              <w:left w:val="single" w:color="DDDDDD" w:sz="1"/>
              <w:bottom w:val="single" w:color="DDDDDD" w:sz="1"/>
              <w:right w:val="single" w:color="DDDDDD" w:sz="1"/>
            </w:tcBorders>
            <w:shd w:fill="FFFFFF" w:val="clear"/>
            <w:tcMar>
              <w:top w:type="dxa" w:w="50"/>
              <w:left w:type="dxa" w:w="80"/>
              <w:bottom w:type="dxa" w:w="50"/>
              <w:right w:type="dxa" w:w="60"/>
            </w:tcMar>
          </w:tcPr>
          <w:p>
            <w:pPr>
              <w:spacing w:after="0" w:before="0"/>
              <w:jc w:val="left"/>
            </w:pPr>
            <w:r>
              <w:rPr>
                <w:rFonts w:ascii="Arial" w:cs="Arial" w:eastAsia="Arial" w:hAnsi="Arial"/>
                <w:b/>
                <w:bCs/>
                <w:i w:val="false"/>
                <w:iCs w:val="false"/>
                <w:color w:val="E05A20"/>
                <w:sz w:val="16"/>
                <w:szCs w:val="16"/>
              </w:rPr>
              <w:t xml:space="preserve">YES</w:t>
            </w:r>
          </w:p>
        </w:tc>
      </w:tr>
      <w:tr>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Begin Wave 1 use case development with implementation partner</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VP Technology / Partner</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Week 10</w:t>
            </w:r>
          </w:p>
        </w:tc>
        <w:tc>
          <w:tcPr>
            <w:tcBorders>
              <w:top w:val="single" w:color="DDDDDD" w:sz="1"/>
              <w:left w:val="single" w:color="DDDDDD" w:sz="1"/>
              <w:bottom w:val="single" w:color="DDDDDD" w:sz="1"/>
              <w:right w:val="single" w:color="DDDDDD" w:sz="1"/>
            </w:tcBorders>
            <w:shd w:fill="FFF8F5" w:val="clear"/>
            <w:tcMar>
              <w:top w:type="dxa" w:w="50"/>
              <w:left w:type="dxa" w:w="80"/>
              <w:bottom w:type="dxa" w:w="50"/>
              <w:right w:type="dxa" w:w="60"/>
            </w:tcMar>
          </w:tcPr>
          <w:p>
            <w:pPr>
              <w:spacing w:after="0" w:before="0"/>
              <w:jc w:val="left"/>
            </w:pPr>
            <w:r>
              <w:rPr>
                <w:rFonts w:ascii="Arial" w:cs="Arial" w:eastAsia="Arial" w:hAnsi="Arial"/>
                <w:b w:val="false"/>
                <w:bCs w:val="false"/>
                <w:i w:val="false"/>
                <w:iCs w:val="false"/>
                <w:color w:val="222222"/>
                <w:sz w:val="16"/>
                <w:szCs w:val="16"/>
              </w:rPr>
              <w:t xml:space="preserve">No</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single" w:color="DDDDDD" w:sz="1"/>
              <w:left w:val="single" w:color="3A80C8" w:sz="4"/>
              <w:bottom w:val="single" w:color="DDDDDD" w:sz="1"/>
              <w:right w:val="single" w:color="DDDDDD" w:sz="1"/>
            </w:tcBorders>
            <w:shd w:fill="EEF4FB" w:val="clear"/>
            <w:tcMar>
              <w:top w:type="dxa" w:w="100"/>
              <w:left w:type="dxa" w:w="180"/>
              <w:bottom w:type="dxa" w:w="100"/>
              <w:right w:type="dxa" w:w="180"/>
            </w:tcMar>
          </w:tcPr>
          <w:p>
            <w:pPr>
              <w:spacing w:after="0" w:before="0"/>
              <w:jc w:val="left"/>
            </w:pPr>
            <w:r>
              <w:rPr>
                <w:rFonts w:ascii="Arial" w:cs="Arial" w:eastAsia="Arial" w:hAnsi="Arial"/>
                <w:b w:val="false"/>
                <w:bCs w:val="false"/>
                <w:i/>
                <w:iCs/>
                <w:color w:val="555555"/>
                <w:sz w:val="17"/>
                <w:szCs w:val="17"/>
              </w:rPr>
              <w:t xml:space="preserve">AdoptingAI remains available to support implementation of the recommendations in this roadmap. This engagement establishes what to build and why. What follows is determined by the client -- whether through internal teams, selected vendors, or a combination. The roadmap is designed to be handed to any implementation team and acted on immediately.</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02F60" w:sz="4"/>
      </w:pBdr>
      <w:spacing w:before="100"/>
      <w:jc w:val="center"/>
    </w:pPr>
    <w:r>
      <w:rPr>
        <w:rFonts w:ascii="Arial" w:cs="Arial" w:eastAsia="Arial" w:hAnsi="Arial"/>
        <w:b w:val="false"/>
        <w:bCs w:val="false"/>
        <w:i w:val="false"/>
        <w:iCs w:val="false"/>
        <w:color w:val="999999"/>
        <w:sz w:val="16"/>
        <w:szCs w:val="16"/>
      </w:rPr>
      <w:t xml:space="preserve">AdoptingAI  |  AI Strategy Roadmap  |  Apex Home Products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2026-05-14T20:28:05.606Z</dcterms:created>
  <dcterms:modified xsi:type="dcterms:W3CDTF">2026-05-14T20:28:05.606Z</dcterms:modified>
</cp:coreProperties>
</file>

<file path=docProps/custom.xml><?xml version="1.0" encoding="utf-8"?>
<Properties xmlns="http://schemas.openxmlformats.org/officeDocument/2006/custom-properties" xmlns:vt="http://schemas.openxmlformats.org/officeDocument/2006/docPropsVTypes"/>
</file>