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shd w:fill="102F60" w:val="clear"/>
            <w:tcMar>
              <w:top w:type="dxa" w:w="120"/>
              <w:left w:type="dxa" w:w="200"/>
              <w:bottom w:type="dxa" w:w="120"/>
              <w:right w:type="dxa" w:w="80"/>
            </w:tcMar>
          </w:tcPr>
          <w:p>
            <w:pPr>
              <w:spacing w:after="20" w:before="0"/>
              <w:jc w:val="left"/>
            </w:pPr>
            <w:r>
              <w:rPr>
                <w:rFonts w:ascii="Arial" w:cs="Arial" w:eastAsia="Arial" w:hAnsi="Arial"/>
                <w:b/>
                <w:bCs/>
                <w:i w:val="false"/>
                <w:iCs w:val="false"/>
                <w:color w:val="FFFFFF"/>
                <w:sz w:val="22"/>
                <w:szCs w:val="22"/>
              </w:rPr>
              <w:t xml:space="preserve">ARIA Final Discovery Analysis (Draft)</w:t>
            </w:r>
          </w:p>
          <w:p>
            <w:pPr>
              <w:spacing w:after="0" w:before="0"/>
              <w:jc w:val="left"/>
            </w:pPr>
            <w:r>
              <w:rPr>
                <w:rFonts w:ascii="Arial" w:cs="Arial" w:eastAsia="Arial" w:hAnsi="Arial"/>
                <w:b w:val="false"/>
                <w:bCs w:val="false"/>
                <w:i w:val="false"/>
                <w:iCs w:val="false"/>
                <w:color w:val="BDD7EE"/>
                <w:sz w:val="17"/>
                <w:szCs w:val="17"/>
              </w:rPr>
              <w:t xml:space="preserve">Apex Home Products  |  Stage 3 Output -- Confidential</w:t>
            </w:r>
          </w:p>
        </w:tc>
        <w:tc>
          <w:tcPr>
            <w:tcW w:type="dxa" w:w="2160"/>
            <w:tcBorders>
              <w:top w:val="none" w:color="FFFFFF" w:sz="0"/>
              <w:left w:val="none" w:color="FFFFFF" w:sz="0"/>
              <w:bottom w:val="none" w:color="FFFFFF" w:sz="0"/>
              <w:right w:val="none" w:color="FFFFFF" w:sz="0"/>
            </w:tcBorders>
            <w:shd w:fill="102F60" w:val="clear"/>
            <w:tcMar>
              <w:top w:type="dxa" w:w="120"/>
              <w:left w:type="dxa" w:w="80"/>
              <w:bottom w:type="dxa" w:w="120"/>
              <w:right w:type="dxa" w:w="200"/>
            </w:tcMar>
            <w:vAlign w:val="center"/>
          </w:tcPr>
          <w:p>
            <w:pPr>
              <w:spacing w:after="0" w:before="0"/>
              <w:jc w:val="right"/>
            </w:pPr>
            <w:r>
              <w:rPr>
                <w:rFonts w:ascii="Arial" w:cs="Arial" w:eastAsia="Arial" w:hAnsi="Arial"/>
                <w:b/>
                <w:bCs/>
                <w:i w:val="false"/>
                <w:iCs w:val="false"/>
                <w:color w:val="FFFFFF"/>
                <w:sz w:val="18"/>
                <w:szCs w:val="18"/>
              </w:rPr>
              <w:t xml:space="preserve">AdoptingAI</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E05A20" w:sz="6"/>
              <w:bottom w:val="single" w:color="DDDDDD" w:sz="1"/>
              <w:right w:val="single" w:color="DDDDDD" w:sz="1"/>
            </w:tcBorders>
            <w:shd w:fill="FFF8E1" w:val="clear"/>
            <w:tcMar>
              <w:top w:type="dxa" w:w="80"/>
              <w:left w:type="dxa" w:w="160"/>
              <w:bottom w:type="dxa" w:w="80"/>
              <w:right w:type="dxa" w:w="160"/>
            </w:tcMar>
          </w:tcPr>
          <w:p>
            <w:pPr>
              <w:spacing w:after="0" w:before="0"/>
              <w:jc w:val="left"/>
            </w:pPr>
            <w:r>
              <w:rPr>
                <w:rFonts w:ascii="Arial" w:cs="Arial" w:eastAsia="Arial" w:hAnsi="Arial"/>
                <w:b/>
                <w:bCs/>
                <w:i w:val="false"/>
                <w:iCs w:val="false"/>
                <w:color w:val="B06000"/>
                <w:sz w:val="17"/>
                <w:szCs w:val="17"/>
              </w:rPr>
              <w:t xml:space="preserve">DRAFT -- ADVISOR REVIEW REQUIRED. Validate all readiness scores and wave assignments before sending to the client.</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1</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DOCUMENT STATUS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1: Research and Prepare</w:t>
            </w:r>
          </w:p>
        </w:tc>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E7D32"/>
                <w:sz w:val="17"/>
                <w:szCs w:val="17"/>
              </w:rPr>
              <w:t xml:space="preserve">Complete</w:t>
            </w:r>
          </w:p>
        </w:tc>
      </w:tr>
      <w:tr>
        <w:tc>
          <w:tcPr>
            <w:tcW w:type="dxa" w:w="468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2: Discover</w:t>
            </w:r>
          </w:p>
        </w:tc>
        <w:tc>
          <w:tcPr>
            <w:tcW w:type="dxa" w:w="468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E7D32"/>
                <w:sz w:val="17"/>
                <w:szCs w:val="17"/>
              </w:rPr>
              <w:t xml:space="preserve">Complete</w:t>
            </w:r>
          </w:p>
        </w:tc>
      </w:tr>
      <w:tr>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3: Synthesize and Assess</w:t>
            </w:r>
          </w:p>
        </w:tc>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E05A20"/>
                <w:sz w:val="17"/>
                <w:szCs w:val="17"/>
              </w:rPr>
              <w:t xml:space="preserve">In Progress -- This Document</w:t>
            </w:r>
          </w:p>
        </w:tc>
      </w:tr>
      <w:tr>
        <w:tc>
          <w:tcPr>
            <w:tcW w:type="dxa" w:w="468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4: Qualify</w:t>
            </w:r>
          </w:p>
        </w:tc>
        <w:tc>
          <w:tcPr>
            <w:tcW w:type="dxa" w:w="468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555555"/>
                <w:sz w:val="17"/>
                <w:szCs w:val="17"/>
              </w:rPr>
              <w:t xml:space="preserve">Not started</w:t>
            </w:r>
          </w:p>
        </w:tc>
      </w:tr>
      <w:tr>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Stage 5: Finalize and Propose</w:t>
            </w:r>
          </w:p>
        </w:tc>
        <w:tc>
          <w:tcPr>
            <w:tcW w:type="dxa" w:w="468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555555"/>
                <w:sz w:val="17"/>
                <w:szCs w:val="17"/>
              </w:rPr>
              <w:t xml:space="preserve">Not started</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2</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CONFIRMED CLIENT PROFILE</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Client Organization</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Apex Home Products</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Session Date</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Q2 2026</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Focus Areas</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Sales and Operations</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Technology Sponsor</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Chris Morgan, VP Technology. Leadership wants AI results but maintains a high proof-of-concept bar before significant commitment. No formal AI governance policy or named AI risk owner exists yet.</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Business Sponsors</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Sales planning team (demand forecasting owner); Sales operations team (retailer business reviews and operational support); Operations team (EDI exceptions, returns processing, supply chain alerts). VP of Sales estimated 30-40% automation opportunity across the sales ops function.</w:t>
            </w:r>
          </w:p>
        </w:tc>
      </w:tr>
      <w:tr>
        <w:tc>
          <w:tcPr>
            <w:tcW w:type="dxa" w:w="24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Key Operational Pressures</w:t>
            </w:r>
          </w:p>
        </w:tc>
        <w:tc>
          <w:tcPr>
            <w:tcW w:type="dxa" w:w="6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180-240 weekly EDI exceptions consuming 2-3 FTEs. Monthly spreadsheet-based demand forecasting causing inventory misses including a $1.5M+ revenue loss from a viral product event. Sales ops spending 30-40% of time on automatable tasks. 300-400 weekly DTC returns requiring 80-100 person-hours. 35-45 annual retailer business reviews taking 2-3 days each. Fragmented out-of-stock visibility straining retailer relationships.</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3</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PAIN AREA ANALYSIS WITH TECHNOLOGY FINDINGS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bCs/>
                <w:i w:val="false"/>
                <w:iCs w:val="false"/>
                <w:color w:val="102F60"/>
                <w:sz w:val="19"/>
                <w:szCs w:val="19"/>
              </w:rPr>
              <w:t xml:space="preserve">Pain Area 1: EDI Exception Resolution Bottleneck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Business Finding</w:t>
            </w:r>
          </w:p>
        </w:tc>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Technology Finding</w:t>
            </w:r>
          </w:p>
        </w:tc>
      </w:tr>
      <w:tr>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180-240 weekly EDI exceptions consuming 2-3 FTEs, with major retail partner exceptions requiring 5-30 minutes each to resolve. Malformed purchase orders create downstream invoicing delays and cash flow impacts. Most contained problem with clearest ROI case and direct effect on retailer relationships.</w:t>
            </w:r>
          </w:p>
        </w:tc>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EDI transaction data exists but historical exception logs with resolution actions and categorization may not be systematically retained for model training. No single EDI platform across all retail partners. SAP has APIs but they are not heavily used; most data exchange is flat file. Data team has limited bandwidth for new integration work.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3A80C8" w:sz="4"/>
              <w:bottom w:val="single" w:color="DDDDDD" w:sz="1"/>
              <w:right w:val="single" w:color="DDDDDD" w:sz="1"/>
            </w:tcBorders>
            <w:shd w:fill="EEF4FB" w:val="clear"/>
            <w:tcMar>
              <w:top w:type="dxa" w:w="80"/>
              <w:left w:type="dxa" w:w="160"/>
              <w:bottom w:type="dxa" w:w="80"/>
              <w:right w:type="dxa" w:w="160"/>
            </w:tcMar>
          </w:tcPr>
          <w:p>
            <w:pPr>
              <w:spacing w:after="0" w:before="0"/>
              <w:jc w:val="left"/>
            </w:pPr>
            <w:r>
              <w:rPr>
                <w:rFonts w:ascii="Arial" w:cs="Arial" w:eastAsia="Arial" w:hAnsi="Arial"/>
                <w:b w:val="false"/>
                <w:bCs w:val="false"/>
                <w:i/>
                <w:iCs/>
                <w:color w:val="555555"/>
                <w:sz w:val="16"/>
                <w:szCs w:val="16"/>
              </w:rPr>
              <w:t xml:space="preserve">Advisory implication: Qualification gate requires validation that 6-12 months of labeled historical exception data (original malformed data, exception type, resolution action, time required) exists or can be collected. If 70-80% of exceptions follow predictable patterns, high-confidence automation is achievable. Flat file integration constraint requires batch or near-real-time processing rather than true real-time. Data collection phase may be needed before model development if logs are not retained.</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bCs/>
                <w:i w:val="false"/>
                <w:iCs w:val="false"/>
                <w:color w:val="102F60"/>
                <w:sz w:val="19"/>
                <w:szCs w:val="19"/>
              </w:rPr>
              <w:t xml:space="preserve">Pain Area 2: Demand Forecasting Accuracy and Agility Gap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Business Finding</w:t>
            </w:r>
          </w:p>
        </w:tc>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Technology Finding</w:t>
            </w:r>
          </w:p>
        </w:tc>
      </w:tr>
      <w:tr>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Monthly spreadsheet forecast with manual data aggregation from multiple systems causes regular inventory misses. A viral product event resulted in $1.5M+ lost revenue from a two-week stockout. Social signals and DTC velocity spikes exist but are not monitored systematically. Monthly cadence is inadequate for 60+ annual product launches across 20 countries.</w:t>
            </w:r>
          </w:p>
        </w:tc>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Institutional knowledge embedded in spreadsheet forecasting creates migration resistance. SAP planning module exists but is unused for demand forecasting. Social media monitoring capability is not currently in place. Retailer POS data quality and frequency varies across accounts. Data warehouse pipelines are still being built.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3A80C8" w:sz="4"/>
              <w:bottom w:val="single" w:color="DDDDDD" w:sz="1"/>
              <w:right w:val="single" w:color="DDDDDD" w:sz="1"/>
            </w:tcBorders>
            <w:shd w:fill="EEF4FB" w:val="clear"/>
            <w:tcMar>
              <w:top w:type="dxa" w:w="80"/>
              <w:left w:type="dxa" w:w="160"/>
              <w:bottom w:type="dxa" w:w="80"/>
              <w:right w:type="dxa" w:w="160"/>
            </w:tcMar>
          </w:tcPr>
          <w:p>
            <w:pPr>
              <w:spacing w:after="0" w:before="0"/>
              <w:jc w:val="left"/>
            </w:pPr>
            <w:r>
              <w:rPr>
                <w:rFonts w:ascii="Arial" w:cs="Arial" w:eastAsia="Arial" w:hAnsi="Arial"/>
                <w:b w:val="false"/>
                <w:bCs w:val="false"/>
                <w:i/>
                <w:iCs/>
                <w:color w:val="555555"/>
                <w:sz w:val="16"/>
                <w:szCs w:val="16"/>
              </w:rPr>
              <w:t xml:space="preserve">Advisory implication: Two distinct use cases: (1) viral demand spike detection requiring social media data access, DTC order velocity monitoring, and near-real-time inventory position data, and (2) predictive demand forecasting engine requiring 2-3 years of historical sales data at daily granularity with promotional calendars and product launch dates. Viral spike detection has higher revenue impact but requires new data sources. Forecasting improvement requires addressing change management concerns and demonstrating that institutional knowledge can be captured in model logic.</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bCs/>
                <w:i w:val="false"/>
                <w:iCs w:val="false"/>
                <w:color w:val="102F60"/>
                <w:sz w:val="19"/>
                <w:szCs w:val="19"/>
              </w:rPr>
              <w:t xml:space="preserve">Pain Area 3: Returns Processing Labor Intensity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Business Finding</w:t>
            </w:r>
          </w:p>
        </w:tc>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Technology Finding</w:t>
            </w:r>
          </w:p>
        </w:tc>
      </w:tr>
      <w:tr>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300-400 weekly returns consuming 80-100 person-hours (approximately 2-2.5 FTEs). DTC return rate growing with channel expansion. Annual labor cost from returns processing is significant before disposition costs.</w:t>
            </w:r>
          </w:p>
        </w:tc>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Return reason, product condition assessment, and disposition decision capture in structured versus unstructured format is unknown from discovery. If data is primarily in free-text notes or undocumented, implementation requires data capture workflow design and 2-3 months of labeled example collection before automation is viable. Product condition assessment criteria may be undocumented tribal knowledge.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3A80C8" w:sz="4"/>
              <w:bottom w:val="single" w:color="DDDDDD" w:sz="1"/>
              <w:right w:val="single" w:color="DDDDDD" w:sz="1"/>
            </w:tcBorders>
            <w:shd w:fill="EEF4FB" w:val="clear"/>
            <w:tcMar>
              <w:top w:type="dxa" w:w="80"/>
              <w:left w:type="dxa" w:w="160"/>
              <w:bottom w:type="dxa" w:w="80"/>
              <w:right w:type="dxa" w:w="160"/>
            </w:tcMar>
          </w:tcPr>
          <w:p>
            <w:pPr>
              <w:spacing w:after="0" w:before="0"/>
              <w:jc w:val="left"/>
            </w:pPr>
            <w:r>
              <w:rPr>
                <w:rFonts w:ascii="Arial" w:cs="Arial" w:eastAsia="Arial" w:hAnsi="Arial"/>
                <w:b w:val="false"/>
                <w:bCs w:val="false"/>
                <w:i/>
                <w:iCs/>
                <w:color w:val="555555"/>
                <w:sz w:val="16"/>
                <w:szCs w:val="16"/>
              </w:rPr>
              <w:t xml:space="preserve">Advisory implication: Qualification gate requires validation that disposition criteria are consistent and rule-based rather than highly subjective. If 60-70% of returns are straightforward restock decisions, those become high-value automation targets. Complex dispositions requiring physical inspection may need computer vision capabilities or remain human-reviewed. Structured data availability determines whether immediate model training is possible or a data collection phase is required.</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bCs/>
                <w:i w:val="false"/>
                <w:iCs w:val="false"/>
                <w:color w:val="102F60"/>
                <w:sz w:val="19"/>
                <w:szCs w:val="19"/>
              </w:rPr>
              <w:t xml:space="preserve">Pain Area 4: Sales Operations Manual Reporting Burden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Business Finding</w:t>
            </w:r>
          </w:p>
        </w:tc>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Technology Finding</w:t>
            </w:r>
          </w:p>
        </w:tc>
      </w:tr>
      <w:tr>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35-45 annual retailer business reviews requiring 2-3 days each (70-135 person-days per year). Each partner requires custom data format and metrics despite repetitive content structure. Experienced sales ops staff spending significant time on manual report production. VP estimates 30-40% of sales ops work could be automated.</w:t>
            </w:r>
          </w:p>
        </w:tc>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Sales data by retailer exists in SAP. Retailer-specific templates and branding requirements exist in individual files, not a centralized repository. Multi-source data aggregation logic is manual. If 80% of content is standard (sales trends, SKU performance, inventory turns, promotional ROI) with 20% custom, automation value is high.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3A80C8" w:sz="4"/>
              <w:bottom w:val="single" w:color="DDDDDD" w:sz="1"/>
              <w:right w:val="single" w:color="DDDDDD" w:sz="1"/>
            </w:tcBorders>
            <w:shd w:fill="EEF4FB" w:val="clear"/>
            <w:tcMar>
              <w:top w:type="dxa" w:w="80"/>
              <w:left w:type="dxa" w:w="160"/>
              <w:bottom w:type="dxa" w:w="80"/>
              <w:right w:type="dxa" w:w="160"/>
            </w:tcMar>
          </w:tcPr>
          <w:p>
            <w:pPr>
              <w:spacing w:after="0" w:before="0"/>
              <w:jc w:val="left"/>
            </w:pPr>
            <w:r>
              <w:rPr>
                <w:rFonts w:ascii="Arial" w:cs="Arial" w:eastAsia="Arial" w:hAnsi="Arial"/>
                <w:b w:val="false"/>
                <w:bCs w:val="false"/>
                <w:i/>
                <w:iCs/>
                <w:color w:val="555555"/>
                <w:sz w:val="16"/>
                <w:szCs w:val="16"/>
              </w:rPr>
              <w:t xml:space="preserve">Advisory implication: Qualification requires understanding full scope of repetitive reporting beyond quarterly business reviews. Solution design depends on validating content standardization percentage and whether past templatization attempts failed due to retailer pushback, data quality issues, or lack of tooling. Opportunity cost multiplier of 3-5x if sales ops time shifts from reporting to revenue-generating account strategy work.</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bCs/>
                <w:i w:val="false"/>
                <w:iCs w:val="false"/>
                <w:color w:val="102F60"/>
                <w:sz w:val="19"/>
                <w:szCs w:val="19"/>
              </w:rPr>
              <w:t xml:space="preserve">Pain Area 5: Fragmented Operational Visibility and Alerting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Business Finding</w:t>
            </w:r>
          </w:p>
        </w:tc>
        <w:tc>
          <w:tcPr>
            <w:tcW w:type="dxa" w:w="4680"/>
            <w:tcBorders>
              <w:top w:val="single" w:color="DDDDDD" w:sz="1"/>
              <w:left w:val="single" w:color="DDDDDD" w:sz="1"/>
              <w:bottom w:val="single" w:color="DDDDDD" w:sz="1"/>
              <w:right w:val="single" w:color="DDDDDD" w:sz="1"/>
            </w:tcBorders>
            <w:shd w:fill="102F60" w:val="clear"/>
            <w:tcMar>
              <w:top w:type="dxa" w:w="60"/>
              <w:left w:type="dxa" w:w="120"/>
              <w:bottom w:type="dxa" w:w="60"/>
              <w:right w:type="dxa" w:w="80"/>
            </w:tcMar>
          </w:tcPr>
          <w:p>
            <w:pPr>
              <w:spacing w:after="0" w:before="0"/>
              <w:jc w:val="left"/>
            </w:pPr>
            <w:r>
              <w:rPr>
                <w:rFonts w:ascii="Arial" w:cs="Arial" w:eastAsia="Arial" w:hAnsi="Arial"/>
                <w:b/>
                <w:bCs/>
                <w:i w:val="false"/>
                <w:iCs w:val="false"/>
                <w:color w:val="FFFFFF"/>
                <w:sz w:val="17"/>
                <w:szCs w:val="17"/>
              </w:rPr>
              <w:t xml:space="preserve">Technology Finding</w:t>
            </w:r>
          </w:p>
        </w:tc>
      </w:tr>
      <w:tr>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Out-of-stocks discovered reactively after retailer contact or data review. No proactive monitoring system despite known revenue impact. Supply disruptions known to operations for 2-3 days before sales awareness. No formal alerting system; right people not always in right communication channels.</w:t>
            </w:r>
          </w:p>
        </w:tc>
        <w:tc>
          <w:tcPr>
            <w:tcW w:type="dxa" w:w="4680"/>
            <w:tcBorders>
              <w:top w:val="single" w:color="DDDDDD" w:sz="1"/>
              <w:left w:val="single" w:color="DDDDDD" w:sz="1"/>
              <w:bottom w:val="single" w:color="DDDDDD" w:sz="1"/>
              <w:right w:val="single" w:color="DDDDDD" w:sz="1"/>
            </w:tcBorders>
            <w:tcMar>
              <w:top w:type="dxa" w:w="80"/>
              <w:left w:type="dxa" w:w="12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Real-time inventory visibility fragmented between SAP, WMS, and retailer systems. Inventory position data granularity and refresh frequency unknown from discovery. If data is batch-updated nightly, alerting will have 12-24 hour lag, reducing effectiveness. Retailer POS sell-through data from major accounts is available daily but integration into the data warehouse is unclear.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3A80C8" w:sz="4"/>
              <w:bottom w:val="single" w:color="DDDDDD" w:sz="1"/>
              <w:right w:val="single" w:color="DDDDDD" w:sz="1"/>
            </w:tcBorders>
            <w:shd w:fill="EEF4FB" w:val="clear"/>
            <w:tcMar>
              <w:top w:type="dxa" w:w="80"/>
              <w:left w:type="dxa" w:w="160"/>
              <w:bottom w:type="dxa" w:w="80"/>
              <w:right w:type="dxa" w:w="160"/>
            </w:tcMar>
          </w:tcPr>
          <w:p>
            <w:pPr>
              <w:spacing w:after="0" w:before="0"/>
              <w:jc w:val="left"/>
            </w:pPr>
            <w:r>
              <w:rPr>
                <w:rFonts w:ascii="Arial" w:cs="Arial" w:eastAsia="Arial" w:hAnsi="Arial"/>
                <w:b w:val="false"/>
                <w:bCs w:val="false"/>
                <w:i/>
                <w:iCs/>
                <w:color w:val="555555"/>
                <w:sz w:val="16"/>
                <w:szCs w:val="16"/>
              </w:rPr>
              <w:t xml:space="preserve">Advisory implication: Proactive out-of-stock alerting requires near-real-time inventory visibility at SKU-location level plus retailer POS sell-through data integration plus demand forecast integration. Solution viability depends on inventory data refresh frequency and whether retailer POS data is already flowing into the environment or requires new integration builds. Cross-functional operations alert hub requires supply chain event data, affected product and customer mapping, role-based notification routing, and integration with existing communication platforms.</w:t>
            </w:r>
          </w:p>
        </w:tc>
      </w:tr>
    </w:tbl>
    <w:p>
      <w:pPr>
        <w:spacing w:after="10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4</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CONFIRMED USE CASE LIST WITH WAVE SEQUENCING</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E7D32" w:val="clear"/>
            <w:tcMar>
              <w:top w:type="dxa" w:w="60"/>
              <w:left w:type="dxa" w:w="160"/>
              <w:bottom w:type="dxa" w:w="60"/>
              <w:right w:type="dxa" w:w="160"/>
            </w:tcMar>
          </w:tcPr>
          <w:p>
            <w:pPr>
              <w:spacing w:after="0" w:before="0"/>
              <w:jc w:val="left"/>
            </w:pPr>
            <w:r>
              <w:rPr>
                <w:rFonts w:ascii="Arial" w:cs="Arial" w:eastAsia="Arial" w:hAnsi="Arial"/>
                <w:b/>
                <w:bCs/>
                <w:i w:val="false"/>
                <w:iCs w:val="false"/>
                <w:color w:val="FFFFFF"/>
                <w:sz w:val="17"/>
                <w:szCs w:val="17"/>
              </w:rPr>
              <w:t xml:space="preserve">WAVE 1 -- RECOMMENDED FOR IMMEDIATE PURSUIT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800"/>
        <w:gridCol w:w="800"/>
        <w:gridCol w:w="2400"/>
        <w:gridCol w:w="3160"/>
      </w:tblGrid>
      <w:tr>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Use Case</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Lens</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Value / Inv</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Critical Path Item</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Sequencing Rationale</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Intelligent EDI Exception Resolution</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PROCESS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 / 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Validate 6-12 months of labeled historical exception data</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Most contained, clearest ROI, direct retailer relationship impact; highest advisor confidence in immediate implementability</w:t>
            </w:r>
          </w:p>
        </w:tc>
      </w:tr>
      <w:tr>
        <w:tc>
          <w:tcPr>
            <w:tcBorders>
              <w:top w:val="single" w:color="DDDDDD" w:sz="1"/>
              <w:left w:val="single" w:color="DDDDDD" w:sz="1"/>
              <w:bottom w:val="single" w:color="DDDDDD" w:sz="1"/>
              <w:right w:val="single" w:color="DDDDDD" w:sz="1"/>
            </w:tcBorders>
            <w:shd w:fill="E8F5E9"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Automated Retailer Business Review Generator</w:t>
            </w:r>
          </w:p>
        </w:tc>
        <w:tc>
          <w:tcPr>
            <w:tcBorders>
              <w:top w:val="single" w:color="DDDDDD" w:sz="1"/>
              <w:left w:val="single" w:color="DDDDDD" w:sz="1"/>
              <w:bottom w:val="single" w:color="DDDDDD" w:sz="1"/>
              <w:right w:val="single" w:color="DDDDDD" w:sz="1"/>
            </w:tcBorders>
            <w:shd w:fill="E8F5E9"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COMMUNICATE</w:t>
            </w:r>
          </w:p>
        </w:tc>
        <w:tc>
          <w:tcPr>
            <w:tcBorders>
              <w:top w:val="single" w:color="DDDDDD" w:sz="1"/>
              <w:left w:val="single" w:color="DDDDDD" w:sz="1"/>
              <w:bottom w:val="single" w:color="DDDDDD" w:sz="1"/>
              <w:right w:val="single" w:color="DDDDDD" w:sz="1"/>
            </w:tcBorders>
            <w:shd w:fill="E8F5E9"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 / M</w:t>
            </w:r>
          </w:p>
        </w:tc>
        <w:tc>
          <w:tcPr>
            <w:tcBorders>
              <w:top w:val="single" w:color="DDDDDD" w:sz="1"/>
              <w:left w:val="single" w:color="DDDDDD" w:sz="1"/>
              <w:bottom w:val="single" w:color="DDDDDD" w:sz="1"/>
              <w:right w:val="single" w:color="DDDDDD" w:sz="1"/>
            </w:tcBorders>
            <w:shd w:fill="E8F5E9"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Retailer portal access and template standardization working session</w:t>
            </w:r>
          </w:p>
        </w:tc>
        <w:tc>
          <w:tcPr>
            <w:tcBorders>
              <w:top w:val="single" w:color="DDDDDD" w:sz="1"/>
              <w:left w:val="single" w:color="DDDDDD" w:sz="1"/>
              <w:bottom w:val="single" w:color="DDDDDD" w:sz="1"/>
              <w:right w:val="single" w:color="DDDDDD" w:sz="1"/>
            </w:tcBorders>
            <w:shd w:fill="E8F5E9"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High labor cost reduction with quantifiable time savings; leadership already identified as automation opportunity</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Proactive Out-of-Stock Alert System (internal signals only)</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MONITOR</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 / 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Near-real-time inventory data from SAP and WMS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Directly addresses known revenue loss pattern; internal signals only scope avoids external data dependency in Wave 1</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B06000" w:val="clear"/>
            <w:tcMar>
              <w:top w:type="dxa" w:w="60"/>
              <w:left w:type="dxa" w:w="160"/>
              <w:bottom w:type="dxa" w:w="60"/>
              <w:right w:type="dxa" w:w="160"/>
            </w:tcMar>
          </w:tcPr>
          <w:p>
            <w:pPr>
              <w:spacing w:after="0" w:before="0"/>
              <w:jc w:val="left"/>
            </w:pPr>
            <w:r>
              <w:rPr>
                <w:rFonts w:ascii="Arial" w:cs="Arial" w:eastAsia="Arial" w:hAnsi="Arial"/>
                <w:b/>
                <w:bCs/>
                <w:i w:val="false"/>
                <w:iCs w:val="false"/>
                <w:color w:val="FFFFFF"/>
                <w:sz w:val="17"/>
                <w:szCs w:val="17"/>
              </w:rPr>
              <w:t xml:space="preserve">WAVE 2 -- PENDING PREREQUISITE RESOLUTION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800"/>
        <w:gridCol w:w="800"/>
        <w:gridCol w:w="2400"/>
        <w:gridCol w:w="3160"/>
      </w:tblGrid>
      <w:tr>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Use Case</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Lens</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Value / Inv</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Critical Path Item</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Sequencing Rationale</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Viral Demand Spike Detection System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MONITOR</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 / H</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Social media API access or third-party listening tool procurement</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High revenue impact but requires new external data sources; internal signal proxy version deployable in Wave 1 if needed</w:t>
            </w:r>
          </w:p>
        </w:tc>
      </w:tr>
      <w:tr>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Predictive Demand Forecasting Engine</w:t>
            </w:r>
          </w:p>
        </w:tc>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DECIDE</w:t>
            </w:r>
          </w:p>
        </w:tc>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 / H</w:t>
            </w:r>
          </w:p>
        </w:tc>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2-3 years of historical sales data at daily granularity; change management plan for sales planning team migration</w:t>
            </w:r>
          </w:p>
        </w:tc>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Highest revenue impact opportunity but highest complexity; institutional knowledge migration requires structured approach</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Automated Returns Processing and Disposition</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PROCESS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 / 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Structured returns data capture in existing systems; disposition criteria documentation</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Clear ROI but data capture quality unknown; may require data collection phase before model training</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555555" w:val="clear"/>
            <w:tcMar>
              <w:top w:type="dxa" w:w="60"/>
              <w:left w:type="dxa" w:w="160"/>
              <w:bottom w:type="dxa" w:w="60"/>
              <w:right w:type="dxa" w:w="160"/>
            </w:tcMar>
          </w:tcPr>
          <w:p>
            <w:pPr>
              <w:spacing w:after="0" w:before="0"/>
              <w:jc w:val="left"/>
            </w:pPr>
            <w:r>
              <w:rPr>
                <w:rFonts w:ascii="Arial" w:cs="Arial" w:eastAsia="Arial" w:hAnsi="Arial"/>
                <w:b/>
                <w:bCs/>
                <w:i w:val="false"/>
                <w:iCs w:val="false"/>
                <w:color w:val="FFFFFF"/>
                <w:sz w:val="17"/>
                <w:szCs w:val="17"/>
              </w:rPr>
              <w:t xml:space="preserve">NOT ADVANCING AT THIS TIME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800"/>
        <w:gridCol w:w="800"/>
        <w:gridCol w:w="2400"/>
        <w:gridCol w:w="3160"/>
      </w:tblGrid>
      <w:tr>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Use Case</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Lens</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Value / Inv</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Critical Path Item</w:t>
            </w:r>
          </w:p>
        </w:tc>
        <w:tc>
          <w:tcPr>
            <w:tcBorders>
              <w:top w:val="single" w:color="DDDDDD" w:sz="1"/>
              <w:left w:val="single" w:color="DDDDDD" w:sz="1"/>
              <w:bottom w:val="single" w:color="DDDDDD" w:sz="1"/>
              <w:right w:val="single" w:color="DDDDDD" w:sz="1"/>
            </w:tcBorders>
            <w:shd w:fill="EEF4FB" w:val="clear"/>
            <w:tcMar>
              <w:top w:type="dxa" w:w="60"/>
              <w:left w:type="dxa" w:w="80"/>
              <w:bottom w:type="dxa" w:w="60"/>
              <w:right w:type="dxa" w:w="60"/>
            </w:tcMar>
          </w:tcPr>
          <w:p>
            <w:pPr>
              <w:spacing w:after="0" w:before="0"/>
              <w:jc w:val="left"/>
            </w:pPr>
            <w:r>
              <w:rPr>
                <w:rFonts w:ascii="Arial" w:cs="Arial" w:eastAsia="Arial" w:hAnsi="Arial"/>
                <w:b/>
                <w:bCs/>
                <w:i w:val="false"/>
                <w:iCs w:val="false"/>
                <w:color w:val="102F60"/>
                <w:sz w:val="15"/>
                <w:szCs w:val="15"/>
              </w:rPr>
              <w:t xml:space="preserve">Sequencing Rationale</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Cross-Functional Operations Alert Hub</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COMMUNICATE</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 / 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Supply chain event data integration and role-based routing design</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Valuable but dependent on Wave 1 infrastructure; revisit once EDI and inventory systems are integrated</w:t>
            </w:r>
          </w:p>
        </w:tc>
      </w:tr>
      <w:tr>
        <w:tc>
          <w:tcPr>
            <w:tcBorders>
              <w:top w:val="single" w:color="DDDDDD" w:sz="1"/>
              <w:left w:val="single" w:color="DDDDDD" w:sz="1"/>
              <w:bottom w:val="single" w:color="DDDDDD" w:sz="1"/>
              <w:right w:val="single" w:color="DDDDDD" w:sz="1"/>
            </w:tcBorders>
            <w:shd w:fill="F5F5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Sales Operations Automation Suite</w:t>
            </w:r>
          </w:p>
        </w:tc>
        <w:tc>
          <w:tcPr>
            <w:tcBorders>
              <w:top w:val="single" w:color="DDDDDD" w:sz="1"/>
              <w:left w:val="single" w:color="DDDDDD" w:sz="1"/>
              <w:bottom w:val="single" w:color="DDDDDD" w:sz="1"/>
              <w:right w:val="single" w:color="DDDDDD" w:sz="1"/>
            </w:tcBorders>
            <w:shd w:fill="F5F5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PROCESS</w:t>
            </w:r>
          </w:p>
        </w:tc>
        <w:tc>
          <w:tcPr>
            <w:tcBorders>
              <w:top w:val="single" w:color="DDDDDD" w:sz="1"/>
              <w:left w:val="single" w:color="DDDDDD" w:sz="1"/>
              <w:bottom w:val="single" w:color="DDDDDD" w:sz="1"/>
              <w:right w:val="single" w:color="DDDDDD" w:sz="1"/>
            </w:tcBorders>
            <w:shd w:fill="F5F5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M / L</w:t>
            </w:r>
          </w:p>
        </w:tc>
        <w:tc>
          <w:tcPr>
            <w:tcBorders>
              <w:top w:val="single" w:color="DDDDDD" w:sz="1"/>
              <w:left w:val="single" w:color="DDDDDD" w:sz="1"/>
              <w:bottom w:val="single" w:color="DDDDDD" w:sz="1"/>
              <w:right w:val="single" w:color="DDDDDD" w:sz="1"/>
            </w:tcBorders>
            <w:shd w:fill="F5F5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Full workflow documentation and data source mapping across sales ops function</w:t>
            </w:r>
          </w:p>
        </w:tc>
        <w:tc>
          <w:tcPr>
            <w:tcBorders>
              <w:top w:val="single" w:color="DDDDDD" w:sz="1"/>
              <w:left w:val="single" w:color="DDDDDD" w:sz="1"/>
              <w:bottom w:val="single" w:color="DDDDDD" w:sz="1"/>
              <w:right w:val="single" w:color="DDDDDD" w:sz="1"/>
            </w:tcBorders>
            <w:shd w:fill="F5F5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5"/>
                <w:szCs w:val="15"/>
              </w:rPr>
              <w:t xml:space="preserve">Broad scope makes it better addressed as a portfolio after Wave 1 pilots demonstrate value</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5"/>
                <w:szCs w:val="15"/>
              </w:rPr>
              <w:t xml:space="preserve">* Wave 1 assignments are subject to validation of data availability and integration prerequisites confirmed through IT Readiness Questionnaire responses. Advisor review required before client distribution.</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4</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READINESS SCORES -- PRELIMINARY</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Readiness scores are preliminary pending questionnaire responses. Scores will be finalized in Stage 4 and presented to the client in the AI Strategy Roadmap.</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8"/>
                <w:szCs w:val="18"/>
              </w:rPr>
              <w:t xml:space="preserve">Data Readiness</w:t>
            </w:r>
          </w:p>
        </w:tc>
        <w:tc>
          <w:tcPr>
            <w:tcW w:type="dxa" w:w="2160"/>
            <w:tcBorders>
              <w:top w:val="single" w:color="DDDDDD" w:sz="1"/>
              <w:left w:val="single" w:color="DDDDDD" w:sz="1"/>
              <w:bottom w:val="single" w:color="DDDDDD" w:sz="1"/>
              <w:right w:val="single" w:color="DDDDDD" w:sz="1"/>
            </w:tcBorders>
            <w:shd w:fill="EEF4FB" w:val="clear"/>
            <w:tcMar>
              <w:top w:type="dxa" w:w="60"/>
              <w:left w:type="dxa" w:w="80"/>
              <w:bottom w:type="dxa" w:w="60"/>
              <w:right w:type="dxa" w:w="120"/>
            </w:tcMar>
            <w:vAlign w:val="center"/>
          </w:tcPr>
          <w:p>
            <w:pPr>
              <w:spacing w:after="0" w:before="0"/>
              <w:jc w:val="center"/>
            </w:pPr>
            <w:r>
              <w:rPr>
                <w:rFonts w:ascii="Arial" w:cs="Arial" w:eastAsia="Arial" w:hAnsi="Arial"/>
                <w:b/>
                <w:bCs/>
                <w:i w:val="false"/>
                <w:iCs w:val="false"/>
                <w:color w:val="B06000"/>
                <w:sz w:val="18"/>
                <w:szCs w:val="18"/>
              </w:rPr>
              <w:t xml:space="preserve">2.5 / 5.0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60"/>
              <w:left w:type="dxa" w:w="120"/>
              <w:bottom w:type="dxa" w:w="60"/>
              <w:right w:type="dxa" w:w="120"/>
            </w:tcMar>
          </w:tcPr>
          <w:p>
            <w:pPr>
              <w:spacing w:after="0" w:before="0"/>
              <w:jc w:val="left"/>
            </w:pPr>
            <w:r>
              <w:rPr>
                <w:rFonts w:ascii="Arial" w:cs="Arial" w:eastAsia="Arial" w:hAnsi="Arial"/>
                <w:b w:val="false"/>
                <w:bCs w:val="false"/>
                <w:i w:val="false"/>
                <w:iCs w:val="false"/>
                <w:color w:val="222222"/>
                <w:sz w:val="16"/>
                <w:szCs w:val="16"/>
              </w:rPr>
              <w:t xml:space="preserve">Data exists across SAP, Salesforce, and WMS but warehouse pipelines remain incomplete for priority use case data feeds. EDI exception log retention and returns data structure require validation.</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8"/>
                <w:szCs w:val="18"/>
              </w:rPr>
              <w:t xml:space="preserve">Technology Readiness</w:t>
            </w:r>
          </w:p>
        </w:tc>
        <w:tc>
          <w:tcPr>
            <w:tcW w:type="dxa" w:w="2160"/>
            <w:tcBorders>
              <w:top w:val="single" w:color="DDDDDD" w:sz="1"/>
              <w:left w:val="single" w:color="DDDDDD" w:sz="1"/>
              <w:bottom w:val="single" w:color="DDDDDD" w:sz="1"/>
              <w:right w:val="single" w:color="DDDDDD" w:sz="1"/>
            </w:tcBorders>
            <w:shd w:fill="EEF4FB" w:val="clear"/>
            <w:tcMar>
              <w:top w:type="dxa" w:w="60"/>
              <w:left w:type="dxa" w:w="80"/>
              <w:bottom w:type="dxa" w:w="60"/>
              <w:right w:type="dxa" w:w="120"/>
            </w:tcMar>
            <w:vAlign w:val="center"/>
          </w:tcPr>
          <w:p>
            <w:pPr>
              <w:spacing w:after="0" w:before="0"/>
              <w:jc w:val="center"/>
            </w:pPr>
            <w:r>
              <w:rPr>
                <w:rFonts w:ascii="Arial" w:cs="Arial" w:eastAsia="Arial" w:hAnsi="Arial"/>
                <w:b/>
                <w:bCs/>
                <w:i w:val="false"/>
                <w:iCs w:val="false"/>
                <w:color w:val="B06000"/>
                <w:sz w:val="18"/>
                <w:szCs w:val="18"/>
              </w:rPr>
              <w:t xml:space="preserve">3.0 / 5.0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60"/>
              <w:left w:type="dxa" w:w="120"/>
              <w:bottom w:type="dxa" w:w="60"/>
              <w:right w:type="dxa" w:w="120"/>
            </w:tcMar>
          </w:tcPr>
          <w:p>
            <w:pPr>
              <w:spacing w:after="0" w:before="0"/>
              <w:jc w:val="left"/>
            </w:pPr>
            <w:r>
              <w:rPr>
                <w:rFonts w:ascii="Arial" w:cs="Arial" w:eastAsia="Arial" w:hAnsi="Arial"/>
                <w:b w:val="false"/>
                <w:bCs w:val="false"/>
                <w:i w:val="false"/>
                <w:iCs w:val="false"/>
                <w:color w:val="222222"/>
                <w:sz w:val="16"/>
                <w:szCs w:val="16"/>
              </w:rPr>
              <w:t xml:space="preserve">Core systems are in place (SAP, Salesforce, WMS, cloud data warehouse) but integration is primarily flat file, API adoption is limited, and real-time data capabilities are underdeveloped for AI use cases.</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8"/>
                <w:szCs w:val="18"/>
              </w:rPr>
              <w:t xml:space="preserve">Organizational Readiness</w:t>
            </w:r>
          </w:p>
        </w:tc>
        <w:tc>
          <w:tcPr>
            <w:tcW w:type="dxa" w:w="2160"/>
            <w:tcBorders>
              <w:top w:val="single" w:color="DDDDDD" w:sz="1"/>
              <w:left w:val="single" w:color="DDDDDD" w:sz="1"/>
              <w:bottom w:val="single" w:color="DDDDDD" w:sz="1"/>
              <w:right w:val="single" w:color="DDDDDD" w:sz="1"/>
            </w:tcBorders>
            <w:shd w:fill="EEF4FB" w:val="clear"/>
            <w:tcMar>
              <w:top w:type="dxa" w:w="60"/>
              <w:left w:type="dxa" w:w="80"/>
              <w:bottom w:type="dxa" w:w="60"/>
              <w:right w:type="dxa" w:w="120"/>
            </w:tcMar>
            <w:vAlign w:val="center"/>
          </w:tcPr>
          <w:p>
            <w:pPr>
              <w:spacing w:after="0" w:before="0"/>
              <w:jc w:val="center"/>
            </w:pPr>
            <w:r>
              <w:rPr>
                <w:rFonts w:ascii="Arial" w:cs="Arial" w:eastAsia="Arial" w:hAnsi="Arial"/>
                <w:b/>
                <w:bCs/>
                <w:i w:val="false"/>
                <w:iCs w:val="false"/>
                <w:color w:val="B06000"/>
                <w:sz w:val="18"/>
                <w:szCs w:val="18"/>
              </w:rPr>
              <w:t xml:space="preserve">2.5 / 5.0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60"/>
              <w:left w:type="dxa" w:w="120"/>
              <w:bottom w:type="dxa" w:w="60"/>
              <w:right w:type="dxa" w:w="120"/>
            </w:tcMar>
          </w:tcPr>
          <w:p>
            <w:pPr>
              <w:spacing w:after="0" w:before="0"/>
              <w:jc w:val="left"/>
            </w:pPr>
            <w:r>
              <w:rPr>
                <w:rFonts w:ascii="Arial" w:cs="Arial" w:eastAsia="Arial" w:hAnsi="Arial"/>
                <w:b w:val="false"/>
                <w:bCs w:val="false"/>
                <w:i w:val="false"/>
                <w:iCs w:val="false"/>
                <w:color w:val="222222"/>
                <w:sz w:val="16"/>
                <w:szCs w:val="16"/>
              </w:rPr>
              <w:t xml:space="preserve">Leadership support exists at VP level with clear sponsorship, but no formal AI governance, risk ownership, or change management capability. Data team is at capacity. Sales planning team migration will require structured support.</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8"/>
                <w:szCs w:val="18"/>
              </w:rPr>
              <w:t xml:space="preserve">Process Readiness</w:t>
            </w:r>
          </w:p>
        </w:tc>
        <w:tc>
          <w:tcPr>
            <w:tcW w:type="dxa" w:w="2160"/>
            <w:tcBorders>
              <w:top w:val="single" w:color="DDDDDD" w:sz="1"/>
              <w:left w:val="single" w:color="DDDDDD" w:sz="1"/>
              <w:bottom w:val="single" w:color="DDDDDD" w:sz="1"/>
              <w:right w:val="single" w:color="DDDDDD" w:sz="1"/>
            </w:tcBorders>
            <w:shd w:fill="EEF4FB" w:val="clear"/>
            <w:tcMar>
              <w:top w:type="dxa" w:w="60"/>
              <w:left w:type="dxa" w:w="80"/>
              <w:bottom w:type="dxa" w:w="60"/>
              <w:right w:type="dxa" w:w="120"/>
            </w:tcMar>
            <w:vAlign w:val="center"/>
          </w:tcPr>
          <w:p>
            <w:pPr>
              <w:spacing w:after="0" w:before="0"/>
              <w:jc w:val="center"/>
            </w:pPr>
            <w:r>
              <w:rPr>
                <w:rFonts w:ascii="Arial" w:cs="Arial" w:eastAsia="Arial" w:hAnsi="Arial"/>
                <w:b/>
                <w:bCs/>
                <w:i w:val="false"/>
                <w:iCs w:val="false"/>
                <w:color w:val="B06000"/>
                <w:sz w:val="18"/>
                <w:szCs w:val="18"/>
              </w:rPr>
              <w:t xml:space="preserve">3.0 / 5.0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60"/>
              <w:left w:type="dxa" w:w="120"/>
              <w:bottom w:type="dxa" w:w="60"/>
              <w:right w:type="dxa" w:w="120"/>
            </w:tcMar>
          </w:tcPr>
          <w:p>
            <w:pPr>
              <w:spacing w:after="0" w:before="0"/>
              <w:jc w:val="left"/>
            </w:pPr>
            <w:r>
              <w:rPr>
                <w:rFonts w:ascii="Arial" w:cs="Arial" w:eastAsia="Arial" w:hAnsi="Arial"/>
                <w:b w:val="false"/>
                <w:bCs w:val="false"/>
                <w:i w:val="false"/>
                <w:iCs w:val="false"/>
                <w:color w:val="222222"/>
                <w:sz w:val="16"/>
                <w:szCs w:val="16"/>
              </w:rPr>
              <w:t xml:space="preserve">Operational processes are well-understood with clear quantification of waste. Exception handling and returns processing have defined (if undocumented) decision rules. Demand forecasting process is mature but embedded in manual tooling.</w:t>
            </w:r>
          </w:p>
        </w:tc>
      </w:tr>
    </w:tbl>
    <w:p>
      <w:pPr>
        <w:spacing w:after="60" w:before="0"/>
      </w:pPr>
      <w:r>
        <w:rPr>
          <w:rFonts w:ascii="Arial" w:cs="Arial" w:eastAsia="Arial" w:hAnsi="Arial"/>
          <w:b w:val="false"/>
          <w:bCs w:val="false"/>
          <w:i w:val="false"/>
          <w:iCs w:val="false"/>
          <w:color w:val="222222"/>
          <w:sz w:val="20"/>
          <w:szCs w:val="20"/>
        </w:rPr>
        <w:t xml:space="preserve"/>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02F60" w:sz="4"/>
      </w:pBdr>
      <w:spacing w:before="100"/>
      <w:jc w:val="center"/>
    </w:pPr>
    <w:r>
      <w:rPr>
        <w:rFonts w:ascii="Arial" w:cs="Arial" w:eastAsia="Arial" w:hAnsi="Arial"/>
        <w:b w:val="false"/>
        <w:bCs w:val="false"/>
        <w:i w:val="false"/>
        <w:iCs w:val="false"/>
        <w:color w:val="999999"/>
        <w:sz w:val="16"/>
        <w:szCs w:val="16"/>
      </w:rPr>
      <w:t xml:space="preserve">AdoptingAI  |  ARIA Final Discovery Analysis  |  Apex Home Products  |  Confidential -- Advisor Review Required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2026-05-14T20:28:05.493Z</dcterms:created>
  <dcterms:modified xsi:type="dcterms:W3CDTF">2026-05-14T20:28:05.493Z</dcterms:modified>
</cp:coreProperties>
</file>

<file path=docProps/custom.xml><?xml version="1.0" encoding="utf-8"?>
<Properties xmlns="http://schemas.openxmlformats.org/officeDocument/2006/custom-properties" xmlns:vt="http://schemas.openxmlformats.org/officeDocument/2006/docPropsVTypes"/>
</file>