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shd w:fill="102F60" w:val="clear"/>
            <w:tcMar>
              <w:top w:type="dxa" w:w="120"/>
              <w:left w:type="dxa" w:w="200"/>
              <w:bottom w:type="dxa" w:w="120"/>
              <w:right w:type="dxa" w:w="80"/>
            </w:tcMar>
          </w:tcPr>
          <w:p>
            <w:pPr>
              <w:spacing w:after="20" w:before="0"/>
              <w:jc w:val="left"/>
            </w:pPr>
            <w:r>
              <w:rPr>
                <w:rFonts w:ascii="Arial" w:cs="Arial" w:eastAsia="Arial" w:hAnsi="Arial"/>
                <w:b/>
                <w:bCs/>
                <w:i w:val="false"/>
                <w:iCs w:val="false"/>
                <w:color w:val="FFFFFF"/>
                <w:sz w:val="22"/>
                <w:szCs w:val="22"/>
              </w:rPr>
              <w:t xml:space="preserve">Business Readiness Questionnaire</w:t>
            </w:r>
          </w:p>
          <w:p>
            <w:pPr>
              <w:spacing w:after="0" w:before="0"/>
              <w:jc w:val="left"/>
            </w:pPr>
            <w:r>
              <w:rPr>
                <w:rFonts w:ascii="Arial" w:cs="Arial" w:eastAsia="Arial" w:hAnsi="Arial"/>
                <w:b w:val="false"/>
                <w:bCs w:val="false"/>
                <w:i w:val="false"/>
                <w:iCs w:val="false"/>
                <w:color w:val="BDD7EE"/>
                <w:sz w:val="17"/>
                <w:szCs w:val="17"/>
              </w:rPr>
              <w:t xml:space="preserve">Apex Home Products  |  AdoptingAI ARIA Engagement</w:t>
            </w:r>
          </w:p>
        </w:tc>
        <w:tc>
          <w:tcPr>
            <w:tcW w:type="dxa" w:w="2160"/>
            <w:tcBorders>
              <w:top w:val="none" w:color="FFFFFF" w:sz="0"/>
              <w:left w:val="none" w:color="FFFFFF" w:sz="0"/>
              <w:bottom w:val="none" w:color="FFFFFF" w:sz="0"/>
              <w:right w:val="none" w:color="FFFFFF" w:sz="0"/>
            </w:tcBorders>
            <w:shd w:fill="102F60" w:val="clear"/>
            <w:tcMar>
              <w:top w:type="dxa" w:w="120"/>
              <w:left w:type="dxa" w:w="80"/>
              <w:bottom w:type="dxa" w:w="120"/>
              <w:right w:type="dxa" w:w="200"/>
            </w:tcMar>
            <w:vAlign w:val="center"/>
          </w:tcPr>
          <w:p>
            <w:pPr>
              <w:spacing w:after="0" w:before="0"/>
              <w:jc w:val="right"/>
            </w:pPr>
            <w:r>
              <w:rPr>
                <w:rFonts w:ascii="Arial" w:cs="Arial" w:eastAsia="Arial" w:hAnsi="Arial"/>
                <w:b/>
                <w:bCs/>
                <w:i w:val="false"/>
                <w:iCs w:val="false"/>
                <w:color w:val="FFFFFF"/>
                <w:sz w:val="18"/>
                <w:szCs w:val="18"/>
              </w:rPr>
              <w:t xml:space="preserve">AdoptingAI</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EEF4FB" w:val="clear"/>
            <w:tcMar>
              <w:top w:type="dxa" w:w="80"/>
              <w:left w:type="dxa" w:w="160"/>
              <w:bottom w:type="dxa" w:w="80"/>
              <w:right w:type="dxa" w:w="160"/>
            </w:tcMar>
          </w:tcPr>
          <w:p>
            <w:pPr>
              <w:spacing w:after="0" w:before="0"/>
              <w:jc w:val="left"/>
            </w:pPr>
            <w:r>
              <w:rPr>
                <w:rFonts w:ascii="Arial" w:cs="Arial" w:eastAsia="Arial" w:hAnsi="Arial"/>
                <w:b/>
                <w:bCs/>
                <w:i w:val="false"/>
                <w:iCs w:val="false"/>
                <w:color w:val="222222"/>
                <w:sz w:val="17"/>
                <w:szCs w:val="17"/>
              </w:rPr>
              <w:t xml:space="preserve">Please complete all sections and return within five business days. Your responses will be used to assess AI readiness and finalize use case recommendations for your organization.</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1</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EDI EXCEPTION MANAGEMENT AND ORDER PROCESSING</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Alex identified 180-240 weekly EDI exceptions consuming 2-3 FTEs as the highest-priority automation opportunity. This section explores the operational details, exception patterns, and business rules needed to design an intelligent resolution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Of the 180-240 weekly EDI exceptions, what are the top five exception types by frequency, and what percentage of total exceptions does each represent?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Example categories might include: malformed product codes, incorrect ship-to addresses, pricing mismatches, quantity discrepancies, missing required fields. Understanding the distribution helps prioritize automation logic development.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the exceptions that currently take 20-30 minutes to resolve, what specific research or decision-making steps do your team members perform that consume that time?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We need to understand whether time is spent looking up retailer-specific requirements, cross-referencing product catalogs, contacting the retailer, checking inventory availability, or other activities.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When an EDI exception causes a downstream invoicing or cash flow impact, what is the typical delay in days and what is the average dollar value at risk per delayed invoice?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This quantifies the financial impact beyond labor cost and helps build a complete ROI case for automation.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percentage of EDI exceptions are ultimately resolved by applying a standard correction rule versus requiring true human judgment or retailer contact?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70-80% follow predictable patterns, those become high-confidence automation candidates. The remainder may require human-in-the-loop workflows.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5</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Which retail partners generate the highest exception volumes, and do certain partners have recurring exception patterns that could be addressed through improved upstream integration?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Some exceptions might be preventable through better EDI mapping or partner onboarding processes rather than requiring exception handling automation.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2</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DEMAND FORECASTING AND INVENTORY ALLOCATION</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A viral product event resulted in over $1.5M in lost revenue when social signals were not systematically monitored. This section examines your current forecasting process, data sources, and decision-making to design predictive demand and spike detection systems.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In your current forecasting process, what specific data sources does the sales planning team manually pull, how long does aggregation take, and what is the typical lag between data extraction and forecast publication?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Understanding current manual effort and data latency establishes the baseline for automation value and real-time improvement opportunity.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Beyond the viral product event example, how many other demand spike events have you experienced in the past 18 months, what were the revenue impacts, and were there early social or DTC signals in each case?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this is a recurring pattern with similar signal characteristics, the ROI case for automated monitoring strengthens significantly.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When your forecast misses and you accumulate excess inventory, what is the typical carrying cost, markdown, or disposal impact per incident, and how many such incidents occur annually?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Overstock costs are often less visible than stockout lost revenue but can be substantial. This helps build a two-sided ROI case for forecast accuracy improvement.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specific institutional knowledge is embedded in the current forecasting process that the sales planning team believes would be difficult to replicate in an automated system?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Understanding whether this is true domain logic versus perceived complexity helps design the migration strategy and address change management concerns.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5</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your annual product launches across multiple countries, what is the current forecast accuracy in the first 90 days post-launch compared to mature product forecast accuracy?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New product forecasting is inherently harder. If launch forecasts are significantly less accurate, that may be a distinct use case requiring different modeling approaches.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3</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RETURNS PROCESSING AND DTC OPERATIONS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With 300-400 weekly returns consuming 80-100 person-hours and a growing return rate alongside DTC expansion, returns processing is a significant cost center. This section explores the inspection, disposition, and refund workflows to identify automation opportunities.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Of the 300-400 weekly returns, what percentage fall into each disposition category: resaleable/restock, refurbish/repackage, recycle/dispose, warranty replacement, or other?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60-70% are straightforward restock decisions, those are high-value automation targets. Complex dispositions may need computer vision or remain human-reviewed.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criteria does your team use to determine whether a returned product is resaleable, and how much variation exists in those judgment calls between team members?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decisions are consistent and rule-based, automation confidence is high. If highly subjective, you may need training data collection or a pilot testing phase.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is the average processing cost per return including labor, inspection, restocking, and disposition activities, and what is the current annual total cost of returns operations?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At current return volumes and processing times, labor cost alone may be significant. This helps build the complete ROI case for automation.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Are there product categories or specific SKUs with significantly higher return rates than the average, and what are the primary return reasons for those products?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High-return SKUs may indicate quality issues or misleading marketing. Targeted interventions might reduce return volume more cost-effectively than processing automation.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5</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address validation issues on DTC orders, what percentage of orders have address problems, how many require manual intervention, and what is the current resolution rate versus cancellation rate?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address issues affect a meaningful percentage of orders and result in cancellations, there is both a labor savings and revenue recovery opportunity from better validation workflows.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RETAILER BUSINESS REVIEWS AND SALES OPERATIONS WORKLOAD</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Sales ops produces 35-45 annual retailer business reviews requiring 2-3 days each, and leadership estimates 30-40% of the sales ops team work could be automated. This section identifies the highest-value automation opportunities within sales operations.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1</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For the annual retailer business reviews, what specific data elements are included, which require the most time to extract and format, and how much variation exists in structure across partners?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80% of content is standard with 20% custom, automation value is very high. Fully custom reviews reduce automation leverage.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2</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Beyond business reviews, what other repetitive reporting or data preparation tasks consume significant sales ops time, and what is the frequency and estimated effort for each?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Weekly dashboards, monthly scorecards, promotional performance analysis, and pipeline reporting may collectively represent more hours than business reviews. Understanding the full portfolio enables proper prioritization.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3</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What is the average burdened hourly cost for your sales ops team members, and what is the opportunity cost when they are doing manual reporting versus higher-value account strategy 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the time freed by automation can shift to revenue-generating activities, the opportunity cost multiplier may be several times the direct labor savings.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4</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Have you attempted to standardize or templatize retailer business reviews in the past, and if so, what obstacles prevented adoption or sustainability?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Understanding past attempts reveals organizational or technical barriers (retailer pushback, data quality issues, lack of tooling) that need to be addressed in solution design.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DDDDD" w:sz="1"/>
              <w:left w:val="single" w:color="DDDDDD" w:sz="1"/>
              <w:bottom w:val="single" w:color="DDDDDD" w:sz="1"/>
              <w:right w:val="single" w:color="DDDDDD" w:sz="1"/>
            </w:tcBorders>
            <w:shd w:fill="102F60" w:val="clear"/>
            <w:tcMar>
              <w:top w:type="dxa" w:w="60"/>
              <w:left w:type="dxa" w:w="80"/>
              <w:bottom w:type="dxa" w:w="60"/>
              <w:right w:type="dxa" w:w="80"/>
            </w:tcMar>
            <w:vAlign w:val="center"/>
          </w:tcPr>
          <w:p>
            <w:pPr>
              <w:spacing w:after="0" w:before="0"/>
              <w:jc w:val="center"/>
            </w:pPr>
            <w:r>
              <w:rPr>
                <w:rFonts w:ascii="Arial" w:cs="Arial" w:eastAsia="Arial" w:hAnsi="Arial"/>
                <w:b/>
                <w:bCs/>
                <w:i w:val="false"/>
                <w:iCs w:val="false"/>
                <w:color w:val="FFFFFF"/>
                <w:sz w:val="18"/>
                <w:szCs w:val="18"/>
              </w:rPr>
              <w:t xml:space="preserve">5</w:t>
            </w:r>
          </w:p>
        </w:tc>
        <w:tc>
          <w:tcPr>
            <w:tcW w:type="dxa" w:w="8960"/>
            <w:tcBorders>
              <w:top w:val="single" w:color="DDDDDD" w:sz="1"/>
              <w:left w:val="single" w:color="DDDDDD" w:sz="1"/>
              <w:bottom w:val="single" w:color="DDDDDD" w:sz="1"/>
              <w:right w:val="single" w:color="DDDDDD" w:sz="1"/>
            </w:tcBorders>
            <w:tcMar>
              <w:top w:type="dxa" w:w="60"/>
              <w:left w:type="dxa" w:w="120"/>
              <w:bottom w:type="dxa" w:w="60"/>
              <w:right w:type="dxa" w:w="80"/>
            </w:tcMar>
          </w:tcPr>
          <w:p>
            <w:pPr>
              <w:spacing w:after="0" w:before="0"/>
              <w:jc w:val="left"/>
            </w:pPr>
            <w:r>
              <w:rPr>
                <w:rFonts w:ascii="Arial" w:cs="Arial" w:eastAsia="Arial" w:hAnsi="Arial"/>
                <w:b/>
                <w:bCs/>
                <w:i w:val="false"/>
                <w:iCs w:val="false"/>
                <w:color w:val="222222"/>
                <w:sz w:val="17"/>
                <w:szCs w:val="17"/>
              </w:rPr>
              <w:t xml:space="preserve">When sales ops supports demand planning, what specific activities do they perform and how does that interaction with the current forecasting process 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val="false"/>
                <w:bCs w:val="false"/>
                <w:i/>
                <w:iCs/>
                <w:color w:val="555555"/>
                <w:sz w:val="16"/>
                <w:szCs w:val="16"/>
              </w:rPr>
              <w:t xml:space="preserve">If sales ops is manually feeding data into or extracting outputs from the forecast, there is an opportunity to streamline the entire demand planning value chain.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120"/>
              <w:left w:type="dxa" w:w="120"/>
              <w:bottom w:type="dxa" w:w="120"/>
              <w:right w:type="dxa" w:w="120"/>
            </w:tcMar>
          </w:tcPr>
          <w:p>
            <w:pPr>
              <w:spacing w:after="160" w:before="0"/>
              <w:jc w:val="left"/>
            </w:pPr>
            <w:r>
              <w:rPr>
                <w:rFonts w:ascii="Arial" w:cs="Arial" w:eastAsia="Arial" w:hAnsi="Arial"/>
                <w:b/>
                <w:bCs/>
                <w:i w:val="false"/>
                <w:iCs w:val="false"/>
                <w:color w:val="555555"/>
                <w:sz w:val="16"/>
                <w:szCs w:val="16"/>
              </w:rPr>
              <w:t xml:space="preserve">Response:</w:t>
            </w:r>
          </w:p>
        </w:tc>
      </w:tr>
    </w:tbl>
    <w:p>
      <w:pPr>
        <w:spacing w:after="60" w:before="0"/>
      </w:pPr>
      <w:r>
        <w:rPr>
          <w:rFonts w:ascii="Arial" w:cs="Arial" w:eastAsia="Arial" w:hAnsi="Arial"/>
          <w:b w:val="false"/>
          <w:bCs w:val="false"/>
          <w:i w:val="false"/>
          <w:iCs w:val="false"/>
          <w:color w:val="222222"/>
          <w:sz w:val="20"/>
          <w:szCs w:val="20"/>
        </w:rPr>
        <w:t xml:space="preserve"/>
      </w:r>
    </w:p>
    <w:p>
      <w:pPr>
        <w:spacing w:after="80" w:before="0"/>
      </w:pPr>
      <w:r>
        <w:rPr>
          <w:rFonts w:ascii="Arial" w:cs="Arial" w:eastAsia="Arial" w:hAnsi="Arial"/>
          <w:b w:val="false"/>
          <w:bCs w:val="false"/>
          <w:i w:val="false"/>
          <w:iCs w:val="false"/>
          <w:color w:val="222222"/>
          <w:sz w:val="20"/>
          <w:szCs w:val="20"/>
        </w:rPr>
        <w:t xml:space="preserve"/>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02F60" w:sz="4"/>
      </w:pBdr>
      <w:spacing w:before="100"/>
      <w:jc w:val="center"/>
    </w:pPr>
    <w:r>
      <w:rPr>
        <w:rFonts w:ascii="Arial" w:cs="Arial" w:eastAsia="Arial" w:hAnsi="Arial"/>
        <w:b w:val="false"/>
        <w:bCs w:val="false"/>
        <w:i w:val="false"/>
        <w:iCs w:val="false"/>
        <w:color w:val="999999"/>
        <w:sz w:val="16"/>
        <w:szCs w:val="16"/>
      </w:rPr>
      <w:t xml:space="preserve">AdoptingAI  |  Business Readiness Questionnaire  |  Apex Home Products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2026-05-14T20:28:05.235Z</dcterms:created>
  <dcterms:modified xsi:type="dcterms:W3CDTF">2026-05-14T20:28:05.235Z</dcterms:modified>
</cp:coreProperties>
</file>

<file path=docProps/custom.xml><?xml version="1.0" encoding="utf-8"?>
<Properties xmlns="http://schemas.openxmlformats.org/officeDocument/2006/custom-properties" xmlns:vt="http://schemas.openxmlformats.org/officeDocument/2006/docPropsVTypes"/>
</file>